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06D71">
      <w:pPr>
        <w:pStyle w:val="134"/>
        <w:rPr>
          <w:color w:val="000000"/>
        </w:rPr>
      </w:pPr>
      <w:r>
        <w:rPr>
          <w:rFonts w:ascii="Times New Roman"/>
          <w:color w:val="000000"/>
        </w:rPr>
        <w:t>ICS</w:t>
      </w:r>
      <w:r>
        <w:rPr>
          <w:rFonts w:hint="eastAsia" w:ascii="MS Mincho" w:hAnsi="MS Mincho" w:eastAsia="MS Mincho" w:cs="MS Mincho"/>
          <w:color w:val="000000"/>
        </w:rPr>
        <w:t> </w:t>
      </w:r>
      <w:r>
        <w:rPr>
          <w:color w:val="000000"/>
        </w:rPr>
        <w:fldChar w:fldCharType="begin">
          <w:ffData>
            <w:name w:val="ICS"/>
            <w:enabled/>
            <w:calcOnExit w:val="0"/>
            <w:helpText w:type="text" w:val="请输入正确的ICS号："/>
            <w:textInput/>
          </w:ffData>
        </w:fldChar>
      </w:r>
      <w:bookmarkStart w:id="0" w:name="ICS"/>
      <w:r>
        <w:rPr>
          <w:color w:val="000000"/>
        </w:rPr>
        <w:instrText xml:space="preserve"> FORMTEXT </w:instrText>
      </w:r>
      <w:r>
        <w:rPr>
          <w:color w:val="000000"/>
        </w:rPr>
        <w:fldChar w:fldCharType="separate"/>
      </w:r>
      <w:r>
        <w:rPr>
          <w:color w:val="000000"/>
        </w:rPr>
        <w:t> </w:t>
      </w:r>
      <w:r>
        <w:rPr>
          <w:rFonts w:hint="eastAsia"/>
          <w:color w:val="000000"/>
          <w:lang w:val="en-US" w:eastAsia="zh-CN"/>
        </w:rPr>
        <w:t>65.020.20</w:t>
      </w:r>
      <w:r>
        <w:rPr>
          <w:color w:val="000000"/>
        </w:rPr>
        <w:t> </w:t>
      </w:r>
      <w:r>
        <w:rPr>
          <w:color w:val="000000"/>
        </w:rPr>
        <w:fldChar w:fldCharType="end"/>
      </w:r>
      <w:bookmarkEnd w:id="0"/>
    </w:p>
    <w:p w14:paraId="5990AFE5">
      <w:pPr>
        <w:pStyle w:val="134"/>
        <w:rPr>
          <w:rFonts w:hint="default" w:eastAsia="黑体"/>
          <w:color w:val="000000"/>
          <w:lang w:val="en-US" w:eastAsia="zh-CN"/>
        </w:rPr>
      </w:pPr>
      <w:r>
        <w:rPr>
          <w:color w:val="000000"/>
        </w:rPr>
        <w:fldChar w:fldCharType="begin">
          <w:ffData>
            <w:name w:val="WXFLH"/>
            <w:enabled/>
            <w:calcOnExit w:val="0"/>
            <w:helpText w:type="text" w:val="请输入中国标准文献分类号："/>
            <w:textInput>
              <w:default w:val="B"/>
            </w:textInput>
          </w:ffData>
        </w:fldChar>
      </w:r>
      <w:bookmarkStart w:id="1" w:name="WXFLH"/>
      <w:r>
        <w:rPr>
          <w:color w:val="000000"/>
        </w:rPr>
        <w:instrText xml:space="preserve"> FORMTEXT </w:instrText>
      </w:r>
      <w:r>
        <w:rPr>
          <w:color w:val="000000"/>
        </w:rPr>
        <w:fldChar w:fldCharType="separate"/>
      </w:r>
      <w:r>
        <w:rPr>
          <w:color w:val="000000"/>
        </w:rPr>
        <w:t>B</w:t>
      </w:r>
      <w:r>
        <w:rPr>
          <w:color w:val="000000"/>
        </w:rPr>
        <w:fldChar w:fldCharType="end"/>
      </w:r>
      <w:bookmarkEnd w:id="1"/>
      <w:r>
        <w:rPr>
          <w:rFonts w:hint="eastAsia"/>
          <w:color w:val="000000"/>
          <w:lang w:val="en-US" w:eastAsia="zh-CN"/>
        </w:rPr>
        <w:t xml:space="preserve"> 38</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64B56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14:paraId="30AC35BD">
            <w:pPr>
              <w:pStyle w:val="134"/>
              <w:rPr>
                <w:color w:val="000000"/>
              </w:rPr>
            </w:pPr>
            <w:r>
              <w:rPr>
                <w:color w:val="000000"/>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14:paraId="112D3E26"/>
                              </w:txbxContent>
                            </wps:txbx>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ri/s1QAAAAcBAAAPAAAAAAAAAAEAIAAAACIAAABkcnMvZG93bnJldi54bWxQSwECFAAUAAAACACH&#10;TuJAgMHi27UBAAByAwAADgAAAAAAAAABACAAAAAkAQAAZHJzL2Uyb0RvYy54bWxQSwUGAAAAAAYA&#10;BgBZAQAASwUAAAAA&#10;">
                      <v:fill on="t" focussize="0,0"/>
                      <v:stroke on="f"/>
                      <v:imagedata o:title=""/>
                      <o:lock v:ext="edit" aspectratio="f"/>
                      <v:textbox>
                        <w:txbxContent>
                          <w:p w14:paraId="112D3E26"/>
                        </w:txbxContent>
                      </v:textbox>
                    </v:rect>
                  </w:pict>
                </mc:Fallback>
              </mc:AlternateContent>
            </w:r>
            <w:r>
              <w:rPr>
                <w:color w:val="000000"/>
              </w:rPr>
              <w:fldChar w:fldCharType="begin">
                <w:ffData>
                  <w:name w:val="BAH"/>
                  <w:enabled/>
                  <w:calcOnExit w:val="0"/>
                  <w:textInput/>
                </w:ffData>
              </w:fldChar>
            </w:r>
            <w:bookmarkStart w:id="2" w:name="BAH"/>
            <w:r>
              <w:rPr>
                <w:color w:val="000000"/>
              </w:rPr>
              <w:instrText xml:space="preserve"> FORMTEXT </w:instrText>
            </w:r>
            <w:r>
              <w:rPr>
                <w:color w:val="000000"/>
              </w:rPr>
              <w:fldChar w:fldCharType="separate"/>
            </w:r>
            <w:r>
              <w:rPr>
                <w:color w:val="000000"/>
              </w:rPr>
              <w:t>     </w:t>
            </w:r>
            <w:r>
              <w:rPr>
                <w:color w:val="000000"/>
              </w:rPr>
              <w:fldChar w:fldCharType="end"/>
            </w:r>
            <w:bookmarkEnd w:id="2"/>
          </w:p>
        </w:tc>
      </w:tr>
    </w:tbl>
    <w:p w14:paraId="5B588822">
      <w:pPr>
        <w:pStyle w:val="123"/>
        <w:rPr>
          <w:color w:val="000000"/>
        </w:rPr>
      </w:pPr>
      <w:r>
        <w:rPr>
          <w:color w:val="000000"/>
        </w:rPr>
        <w:t>DB</w:t>
      </w:r>
      <w:bookmarkStart w:id="3" w:name="c3"/>
      <w:r>
        <w:rPr>
          <w:color w:val="000000"/>
        </w:rPr>
        <w:fldChar w:fldCharType="begin">
          <w:ffData>
            <w:name w:val="c3"/>
            <w:enabled/>
            <w:calcOnExit w:val="0"/>
            <w:textInput>
              <w:maxLength w:val="2"/>
            </w:textInput>
          </w:ffData>
        </w:fldChar>
      </w:r>
      <w:r>
        <w:rPr>
          <w:color w:val="000000"/>
        </w:rPr>
        <w:instrText xml:space="preserve"> FORMTEXT </w:instrText>
      </w:r>
      <w:r>
        <w:rPr>
          <w:color w:val="000000"/>
        </w:rPr>
        <w:fldChar w:fldCharType="separate"/>
      </w:r>
      <w:r>
        <w:rPr>
          <w:rFonts w:hint="eastAsia"/>
          <w:color w:val="000000"/>
        </w:rPr>
        <w:t>36</w:t>
      </w:r>
      <w:r>
        <w:rPr>
          <w:color w:val="000000"/>
        </w:rPr>
        <w:fldChar w:fldCharType="end"/>
      </w:r>
      <w:bookmarkEnd w:id="3"/>
    </w:p>
    <w:p w14:paraId="1914E18A">
      <w:pPr>
        <w:pStyle w:val="116"/>
        <w:rPr>
          <w:color w:val="000000"/>
        </w:rPr>
      </w:pPr>
      <w:bookmarkStart w:id="4" w:name="c4"/>
      <w:r>
        <w:rPr>
          <w:color w:val="000000"/>
        </w:rPr>
        <w:fldChar w:fldCharType="begin">
          <w:ffData>
            <w:name w:val="c4"/>
            <w:enabled/>
            <w:calcOnExit w:val="0"/>
            <w:textInput/>
          </w:ffData>
        </w:fldChar>
      </w:r>
      <w:r>
        <w:rPr>
          <w:color w:val="000000"/>
        </w:rPr>
        <w:instrText xml:space="preserve"> FORMTEXT </w:instrText>
      </w:r>
      <w:r>
        <w:rPr>
          <w:color w:val="000000"/>
        </w:rPr>
        <w:fldChar w:fldCharType="separate"/>
      </w:r>
      <w:r>
        <w:rPr>
          <w:rFonts w:hint="eastAsia"/>
          <w:color w:val="000000"/>
        </w:rPr>
        <w:t>江西省</w:t>
      </w:r>
      <w:r>
        <w:rPr>
          <w:color w:val="000000"/>
        </w:rPr>
        <w:fldChar w:fldCharType="end"/>
      </w:r>
      <w:bookmarkEnd w:id="4"/>
      <w:r>
        <w:rPr>
          <w:rFonts w:hint="eastAsia"/>
          <w:color w:val="000000"/>
        </w:rPr>
        <w:t>地方标准</w:t>
      </w:r>
    </w:p>
    <w:p w14:paraId="1C99597D">
      <w:pPr>
        <w:pStyle w:val="119"/>
        <w:rPr>
          <w:rFonts w:hAnsi="黑体"/>
          <w:color w:val="000000"/>
        </w:rPr>
      </w:pPr>
      <w:r>
        <w:rPr>
          <w:rFonts w:ascii="Times New Roman"/>
          <w:color w:val="000000"/>
        </w:rPr>
        <w:t xml:space="preserve">DB </w:t>
      </w:r>
      <w:bookmarkStart w:id="5" w:name="StdNo0"/>
      <w:r>
        <w:rPr>
          <w:rFonts w:hAnsi="黑体"/>
          <w:color w:val="000000"/>
        </w:rPr>
        <w:fldChar w:fldCharType="begin">
          <w:ffData>
            <w:name w:val="StdNo0"/>
            <w:enabled/>
            <w:calcOnExit w:val="0"/>
            <w:textInput>
              <w:default w:val="XX"/>
              <w:maxLength w:val="2"/>
            </w:textInput>
          </w:ffData>
        </w:fldChar>
      </w:r>
      <w:r>
        <w:rPr>
          <w:rFonts w:hAnsi="黑体"/>
          <w:color w:val="000000"/>
        </w:rPr>
        <w:instrText xml:space="preserve"> FORMTEXT </w:instrText>
      </w:r>
      <w:r>
        <w:rPr>
          <w:rFonts w:hAnsi="黑体"/>
          <w:color w:val="000000"/>
        </w:rPr>
        <w:fldChar w:fldCharType="separate"/>
      </w:r>
      <w:r>
        <w:rPr>
          <w:rFonts w:hint="eastAsia" w:hAnsi="黑体"/>
          <w:color w:val="000000"/>
        </w:rPr>
        <w:t>36</w:t>
      </w:r>
      <w:r>
        <w:rPr>
          <w:rFonts w:hAnsi="黑体"/>
          <w:color w:val="000000"/>
        </w:rPr>
        <w:fldChar w:fldCharType="end"/>
      </w:r>
      <w:bookmarkEnd w:id="5"/>
      <w:r>
        <w:rPr>
          <w:rFonts w:hAnsi="黑体"/>
          <w:color w:val="000000"/>
        </w:rPr>
        <w:t xml:space="preserve">/T </w:t>
      </w:r>
      <w:bookmarkStart w:id="6" w:name="StdNo1"/>
      <w:r>
        <w:rPr>
          <w:rFonts w:ascii="黑体" w:hAnsi="黑体" w:eastAsia="黑体"/>
          <w:color w:val="000000"/>
          <w:sz w:val="28"/>
          <w:szCs w:val="28"/>
          <w:lang w:bidi="ar-SA"/>
        </w:rPr>
        <w:fldChar w:fldCharType="begin">
          <w:ffData>
            <w:name w:val="StdNo1"/>
            <w:enabled/>
            <w:calcOnExit w:val="0"/>
            <w:textInput>
              <w:default w:val="1468"/>
            </w:textInput>
          </w:ffData>
        </w:fldChar>
      </w:r>
      <w:r>
        <w:rPr>
          <w:rFonts w:ascii="黑体" w:hAnsi="黑体" w:eastAsia="黑体"/>
          <w:color w:val="000000"/>
          <w:sz w:val="28"/>
          <w:szCs w:val="28"/>
          <w:lang w:bidi="ar-SA"/>
        </w:rPr>
        <w:instrText xml:space="preserve">FORMTEXT</w:instrText>
      </w:r>
      <w:r>
        <w:rPr>
          <w:rFonts w:ascii="黑体" w:hAnsi="黑体" w:eastAsia="黑体"/>
          <w:color w:val="000000"/>
          <w:sz w:val="28"/>
          <w:szCs w:val="28"/>
          <w:lang w:bidi="ar-SA"/>
        </w:rPr>
        <w:fldChar w:fldCharType="separate"/>
      </w:r>
      <w:r>
        <w:rPr>
          <w:rFonts w:ascii="黑体" w:hAnsi="黑体" w:eastAsia="黑体"/>
          <w:color w:val="000000"/>
          <w:sz w:val="28"/>
          <w:szCs w:val="28"/>
          <w:lang w:bidi="ar-SA"/>
        </w:rPr>
        <w:t>1468</w:t>
      </w:r>
      <w:r>
        <w:rPr>
          <w:rFonts w:ascii="黑体" w:hAnsi="黑体" w:eastAsia="黑体"/>
          <w:color w:val="000000"/>
          <w:sz w:val="28"/>
          <w:szCs w:val="28"/>
          <w:lang w:bidi="ar-SA"/>
        </w:rPr>
        <w:fldChar w:fldCharType="end"/>
      </w:r>
      <w:bookmarkEnd w:id="6"/>
      <w:r>
        <w:rPr>
          <w:rFonts w:hAnsi="黑体"/>
          <w:color w:val="000000"/>
        </w:rPr>
        <w:t>—</w:t>
      </w:r>
      <w:bookmarkStart w:id="7" w:name="StdNo2"/>
      <w:r>
        <w:rPr>
          <w:rFonts w:ascii="黑体" w:hAnsi="黑体" w:eastAsia="黑体"/>
          <w:color w:val="000000"/>
          <w:sz w:val="28"/>
          <w:szCs w:val="28"/>
          <w:lang w:bidi="ar-SA"/>
        </w:rPr>
        <w:fldChar w:fldCharType="begin">
          <w:ffData>
            <w:name w:val="StdNo2"/>
            <w:enabled/>
            <w:calcOnExit w:val="0"/>
            <w:textInput>
              <w:default w:val="2021"/>
              <w:maxLength w:val="4"/>
            </w:textInput>
          </w:ffData>
        </w:fldChar>
      </w:r>
      <w:r>
        <w:rPr>
          <w:rFonts w:ascii="黑体" w:hAnsi="黑体" w:eastAsia="黑体"/>
          <w:color w:val="000000"/>
          <w:sz w:val="28"/>
          <w:szCs w:val="28"/>
          <w:lang w:bidi="ar-SA"/>
        </w:rPr>
        <w:instrText xml:space="preserve">FORMTEXT</w:instrText>
      </w:r>
      <w:r>
        <w:rPr>
          <w:rFonts w:ascii="黑体" w:hAnsi="黑体" w:eastAsia="黑体"/>
          <w:color w:val="000000"/>
          <w:sz w:val="28"/>
          <w:szCs w:val="28"/>
          <w:lang w:bidi="ar-SA"/>
        </w:rPr>
        <w:fldChar w:fldCharType="separate"/>
      </w:r>
      <w:r>
        <w:rPr>
          <w:rFonts w:ascii="黑体" w:hAnsi="黑体" w:eastAsia="黑体"/>
          <w:color w:val="000000"/>
          <w:sz w:val="28"/>
          <w:szCs w:val="28"/>
          <w:lang w:bidi="ar-SA"/>
        </w:rPr>
        <w:t>2021</w:t>
      </w:r>
      <w:r>
        <w:rPr>
          <w:rFonts w:ascii="黑体" w:hAnsi="黑体" w:eastAsia="黑体"/>
          <w:color w:val="000000"/>
          <w:sz w:val="28"/>
          <w:szCs w:val="28"/>
          <w:lang w:bidi="ar-SA"/>
        </w:rPr>
        <w:fldChar w:fldCharType="end"/>
      </w:r>
      <w:bookmarkEnd w:id="7"/>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79C11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54864216">
            <w:pPr>
              <w:pStyle w:val="136"/>
              <w:rPr>
                <w:color w:val="000000"/>
              </w:rPr>
            </w:pPr>
            <w:bookmarkStart w:id="8" w:name="DT"/>
            <w:r>
              <w:rPr>
                <w:color w:val="000000"/>
              </w:rPr>
              <w:fldChar w:fldCharType="begin">
                <w:ffData>
                  <w:name w:val="DT"/>
                  <w:enabled/>
                  <w:calcOnExit w:val="0"/>
                  <w:textInput/>
                </w:ffData>
              </w:fldChar>
            </w:r>
            <w:r>
              <w:rPr>
                <w:color w:val="000000"/>
              </w:rPr>
              <w:instrText xml:space="preserve"> FORMTEXT </w:instrText>
            </w:r>
            <w:r>
              <w:rPr>
                <w:color w:val="000000"/>
              </w:rPr>
              <w:fldChar w:fldCharType="separate"/>
            </w:r>
            <w:r>
              <w:rPr>
                <w:color w:val="000000"/>
              </w:rPr>
              <w:t>     </w:t>
            </w:r>
            <w:r>
              <w:rPr>
                <w:color w:val="000000"/>
              </w:rPr>
              <w:fldChar w:fldCharType="end"/>
            </w:r>
            <w:bookmarkEnd w:id="8"/>
          </w:p>
        </w:tc>
      </w:tr>
    </w:tbl>
    <w:p w14:paraId="7B1F0164">
      <w:pPr>
        <w:pStyle w:val="119"/>
        <w:rPr>
          <w:rFonts w:hAnsi="黑体"/>
          <w:color w:val="000000"/>
        </w:rPr>
      </w:pPr>
    </w:p>
    <w:p w14:paraId="43AC4216">
      <w:pPr>
        <w:pStyle w:val="119"/>
        <w:rPr>
          <w:rFonts w:hAnsi="黑体"/>
          <w:color w:val="000000"/>
        </w:rPr>
      </w:pPr>
    </w:p>
    <w:p w14:paraId="595579DF">
      <w:pPr>
        <w:pStyle w:val="80"/>
        <w:rPr>
          <w:color w:val="000000"/>
        </w:rPr>
      </w:pPr>
      <w:bookmarkStart w:id="9" w:name="StdName"/>
      <w:r>
        <w:rPr>
          <w:color w:val="000000"/>
        </w:rPr>
        <w:fldChar w:fldCharType="begin">
          <w:ffData>
            <w:name w:val="StdName"/>
            <w:enabled/>
            <w:calcOnExit w:val="0"/>
            <w:textInput>
              <w:default w:val="点击此处添加标准名称"/>
            </w:textInput>
          </w:ffData>
        </w:fldChar>
      </w:r>
      <w:r>
        <w:rPr>
          <w:color w:val="000000"/>
        </w:rPr>
        <w:instrText xml:space="preserve"> FORMTEXT </w:instrText>
      </w:r>
      <w:r>
        <w:rPr>
          <w:color w:val="000000"/>
        </w:rPr>
        <w:fldChar w:fldCharType="separate"/>
      </w:r>
      <w:r>
        <w:rPr>
          <w:rFonts w:hint="eastAsia"/>
          <w:color w:val="000000"/>
        </w:rPr>
        <w:t>地理标志产品</w:t>
      </w:r>
      <w:r>
        <w:rPr>
          <w:color w:val="000000"/>
        </w:rPr>
        <w:t xml:space="preserve"> 樟树黄栀子</w:t>
      </w:r>
      <w:r>
        <w:rPr>
          <w:color w:val="000000"/>
        </w:rPr>
        <w:fldChar w:fldCharType="end"/>
      </w:r>
      <w:bookmarkEnd w:id="9"/>
    </w:p>
    <w:p w14:paraId="213802FA">
      <w:pPr>
        <w:pStyle w:val="79"/>
        <w:rPr>
          <w:color w:val="000000"/>
        </w:rPr>
      </w:pPr>
      <w:r>
        <w:rPr>
          <w:color w:val="000000"/>
        </w:rPr>
        <w:fldChar w:fldCharType="begin">
          <w:ffData>
            <w:name w:val="StdEnglishName"/>
            <w:enabled/>
            <w:calcOnExit w:val="0"/>
            <w:textInput>
              <w:default w:val="Product of geographical indication-Zhangshu gardenia fructus"/>
            </w:textInput>
          </w:ffData>
        </w:fldChar>
      </w:r>
      <w:bookmarkStart w:id="10" w:name="StdEnglishName"/>
      <w:r>
        <w:rPr>
          <w:color w:val="000000"/>
        </w:rPr>
        <w:instrText xml:space="preserve"> FORMTEXT </w:instrText>
      </w:r>
      <w:r>
        <w:rPr>
          <w:color w:val="000000"/>
        </w:rPr>
        <w:fldChar w:fldCharType="separate"/>
      </w:r>
      <w:r>
        <w:rPr>
          <w:color w:val="000000"/>
        </w:rPr>
        <w:t>Product of geographical indication-Zhangshu gardenia fructus</w:t>
      </w:r>
      <w:r>
        <w:rPr>
          <w:color w:val="000000"/>
        </w:rPr>
        <w:fldChar w:fldCharType="end"/>
      </w:r>
      <w:bookmarkEnd w:id="10"/>
    </w:p>
    <w:p w14:paraId="7DD613E9">
      <w:pPr>
        <w:pStyle w:val="78"/>
        <w:rPr>
          <w:color w:val="000000"/>
        </w:rPr>
      </w:pPr>
      <w:bookmarkStart w:id="11" w:name="YZBS"/>
      <w:r>
        <w:rPr>
          <w:color w:val="000000"/>
        </w:rPr>
        <w:fldChar w:fldCharType="begin">
          <w:ffData>
            <w:name w:val="YZBS"/>
            <w:enabled/>
            <w:calcOnExit w:val="0"/>
            <w:textInput>
              <w:default w:val="点击此处添加与国际标准一致性程度的标识"/>
            </w:textInput>
          </w:ffData>
        </w:fldChar>
      </w:r>
      <w:r>
        <w:rPr>
          <w:color w:val="000000"/>
        </w:rPr>
        <w:instrText xml:space="preserve"> FORMTEXT </w:instrText>
      </w:r>
      <w:r>
        <w:rPr>
          <w:color w:val="000000"/>
        </w:rPr>
        <w:fldChar w:fldCharType="separate"/>
      </w:r>
      <w:r>
        <w:rPr>
          <w:color w:val="000000"/>
        </w:rPr>
        <w:t>     </w:t>
      </w:r>
      <w:r>
        <w:rPr>
          <w:color w:val="000000"/>
        </w:rPr>
        <w:fldChar w:fldCharType="end"/>
      </w:r>
      <w:bookmarkEnd w:id="11"/>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6878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2BCBF92A">
            <w:pPr>
              <w:pStyle w:val="96"/>
              <w:rPr>
                <w:color w:val="000000"/>
              </w:rPr>
            </w:pPr>
            <w:r>
              <w:rPr>
                <w:color w:val="000000"/>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14:paraId="5705B234"/>
                              </w:txbxContent>
                            </wps:txbx>
                            <wps:bodyPr wrap="square"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X9+DX&#10;AAAACwEAAA8AAAAAAAAAAQAgAAAAIgAAAGRycy9kb3ducmV2LnhtbFBLAQIUABQAAAAIAIdO4kC9&#10;S8M4rwEAAHIDAAAOAAAAAAAAAAEAIAAAACYBAABkcnMvZTJvRG9jLnhtbFBLBQYAAAAABgAGAFkB&#10;AABHBQAAAAA=&#10;">
                      <v:fill on="t" focussize="0,0"/>
                      <v:stroke on="f"/>
                      <v:imagedata o:title=""/>
                      <o:lock v:ext="edit" aspectratio="f"/>
                      <v:textbox>
                        <w:txbxContent>
                          <w:p w14:paraId="5705B234"/>
                        </w:txbxContent>
                      </v:textbox>
                      <w10:anchorlock/>
                    </v:rect>
                  </w:pict>
                </mc:Fallback>
              </mc:AlternateContent>
            </w:r>
            <w:r>
              <w:rPr>
                <w:color w:val="000000"/>
              </w:rP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12" w:name="LB"/>
            <w:r>
              <w:rPr>
                <w:color w:val="000000"/>
              </w:rPr>
              <w:instrText xml:space="preserve"> FORMDROPDOWN </w:instrText>
            </w:r>
            <w:r>
              <w:rPr>
                <w:color w:val="000000"/>
              </w:rPr>
              <w:fldChar w:fldCharType="separate"/>
            </w:r>
            <w:r>
              <w:rPr>
                <w:color w:val="000000"/>
              </w:rPr>
              <w:fldChar w:fldCharType="end"/>
            </w:r>
            <w:bookmarkEnd w:id="12"/>
          </w:p>
        </w:tc>
      </w:tr>
      <w:tr w14:paraId="539DB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28B0E632">
            <w:pPr>
              <w:pStyle w:val="113"/>
              <w:jc w:val="both"/>
              <w:rPr>
                <w:color w:val="000000"/>
              </w:rPr>
            </w:pPr>
            <w:bookmarkStart w:id="13" w:name="WCRQ"/>
            <w:r>
              <w:rPr>
                <w:color w:val="000000"/>
              </w:rPr>
              <w:t xml:space="preserve">                                           </w:t>
            </w:r>
            <w:r>
              <w:rPr>
                <w:color w:val="000000"/>
              </w:rPr>
              <w:fldChar w:fldCharType="begin">
                <w:ffData>
                  <w:enabled/>
                  <w:calcOnExit w:val="0"/>
                  <w:textInput/>
                </w:ffData>
              </w:fldChar>
            </w:r>
            <w:r>
              <w:rPr>
                <w:color w:val="000000"/>
              </w:rPr>
              <w:instrText xml:space="preserve"> FORMTEXT </w:instrText>
            </w:r>
            <w:r>
              <w:rPr>
                <w:color w:val="000000"/>
              </w:rPr>
              <w:fldChar w:fldCharType="separate"/>
            </w:r>
            <w:r>
              <w:rPr>
                <w:color w:val="000000"/>
              </w:rPr>
              <w:t xml:space="preserve">     </w:t>
            </w:r>
            <w:r>
              <w:rPr>
                <w:color w:val="000000"/>
              </w:rPr>
              <w:fldChar w:fldCharType="end"/>
            </w:r>
            <w:bookmarkEnd w:id="13"/>
          </w:p>
        </w:tc>
      </w:tr>
    </w:tbl>
    <w:p w14:paraId="1C3C1670">
      <w:pPr>
        <w:pStyle w:val="62"/>
        <w:rPr>
          <w:color w:val="000000"/>
        </w:rPr>
      </w:pPr>
      <w:bookmarkStart w:id="14" w:name="FY"/>
      <w:r>
        <w:rPr>
          <w:rFonts w:ascii="黑体" w:eastAsia="黑体"/>
          <w:color w:val="000000"/>
          <w:sz w:val="28"/>
          <w:lang w:bidi="ar-SA"/>
        </w:rPr>
        <w:fldChar w:fldCharType="begin">
          <w:ffData>
            <w:name w:val="FY"/>
            <w:enabled/>
            <w:calcOnExit w:val="0"/>
            <w:textInput>
              <w:default w:val="2021"/>
              <w:maxLength w:val="4"/>
            </w:textInput>
          </w:ffData>
        </w:fldChar>
      </w:r>
      <w:r>
        <w:rPr>
          <w:rFonts w:ascii="黑体" w:eastAsia="黑体"/>
          <w:color w:val="000000"/>
          <w:sz w:val="28"/>
          <w:lang w:bidi="ar-SA"/>
        </w:rPr>
        <w:instrText xml:space="preserve">FORMTEXT</w:instrText>
      </w:r>
      <w:r>
        <w:rPr>
          <w:rFonts w:ascii="黑体" w:eastAsia="黑体"/>
          <w:color w:val="000000"/>
          <w:sz w:val="28"/>
          <w:lang w:bidi="ar-SA"/>
        </w:rPr>
        <w:fldChar w:fldCharType="separate"/>
      </w:r>
      <w:r>
        <w:rPr>
          <w:rFonts w:ascii="黑体" w:eastAsia="黑体"/>
          <w:color w:val="000000"/>
          <w:sz w:val="28"/>
          <w:lang w:bidi="ar-SA"/>
        </w:rPr>
        <w:t>2021</w:t>
      </w:r>
      <w:r>
        <w:rPr>
          <w:rFonts w:ascii="黑体" w:eastAsia="黑体"/>
          <w:color w:val="000000"/>
          <w:sz w:val="28"/>
          <w:lang w:bidi="ar-SA"/>
        </w:rPr>
        <w:fldChar w:fldCharType="end"/>
      </w:r>
      <w:bookmarkEnd w:id="14"/>
      <w:r>
        <w:rPr>
          <w:color w:val="000000"/>
        </w:rPr>
        <w:t xml:space="preserve"> </w:t>
      </w:r>
      <w:r>
        <w:rPr>
          <w:rFonts w:ascii="黑体"/>
          <w:color w:val="000000"/>
        </w:rPr>
        <w:t>-</w:t>
      </w:r>
      <w:r>
        <w:rPr>
          <w:color w:val="000000"/>
        </w:rPr>
        <w:t xml:space="preserve"> </w:t>
      </w:r>
      <w:bookmarkStart w:id="15" w:name="FM"/>
      <w:r>
        <w:rPr>
          <w:rFonts w:ascii="黑体" w:eastAsia="黑体"/>
          <w:color w:val="000000"/>
          <w:sz w:val="28"/>
          <w:lang w:bidi="ar-SA"/>
        </w:rPr>
        <w:fldChar w:fldCharType="begin">
          <w:ffData>
            <w:name w:val="FM"/>
            <w:enabled/>
            <w:calcOnExit w:val="0"/>
            <w:textInput>
              <w:default w:val="09"/>
              <w:maxLength w:val="2"/>
            </w:textInput>
          </w:ffData>
        </w:fldChar>
      </w:r>
      <w:r>
        <w:rPr>
          <w:rFonts w:ascii="黑体" w:eastAsia="黑体"/>
          <w:color w:val="000000"/>
          <w:sz w:val="28"/>
          <w:lang w:bidi="ar-SA"/>
        </w:rPr>
        <w:instrText xml:space="preserve">FORMTEXT</w:instrText>
      </w:r>
      <w:r>
        <w:rPr>
          <w:rFonts w:ascii="黑体" w:eastAsia="黑体"/>
          <w:color w:val="000000"/>
          <w:sz w:val="28"/>
          <w:lang w:bidi="ar-SA"/>
        </w:rPr>
        <w:fldChar w:fldCharType="separate"/>
      </w:r>
      <w:r>
        <w:rPr>
          <w:rFonts w:ascii="黑体" w:eastAsia="黑体"/>
          <w:color w:val="000000"/>
          <w:sz w:val="28"/>
          <w:lang w:bidi="ar-SA"/>
        </w:rPr>
        <w:t>09</w:t>
      </w:r>
      <w:r>
        <w:rPr>
          <w:rFonts w:ascii="黑体" w:eastAsia="黑体"/>
          <w:color w:val="000000"/>
          <w:sz w:val="28"/>
          <w:lang w:bidi="ar-SA"/>
        </w:rPr>
        <w:fldChar w:fldCharType="end"/>
      </w:r>
      <w:bookmarkEnd w:id="15"/>
      <w:r>
        <w:rPr>
          <w:color w:val="000000"/>
        </w:rPr>
        <w:t xml:space="preserve"> </w:t>
      </w:r>
      <w:r>
        <w:rPr>
          <w:rFonts w:ascii="黑体"/>
          <w:color w:val="000000"/>
        </w:rPr>
        <w:t>-</w:t>
      </w:r>
      <w:r>
        <w:rPr>
          <w:color w:val="000000"/>
        </w:rPr>
        <w:t xml:space="preserve"> </w:t>
      </w:r>
      <w:bookmarkStart w:id="16" w:name="FD"/>
      <w:r>
        <w:rPr>
          <w:rFonts w:ascii="黑体" w:eastAsia="黑体"/>
          <w:color w:val="000000"/>
          <w:sz w:val="28"/>
          <w:lang w:bidi="ar-SA"/>
        </w:rPr>
        <w:fldChar w:fldCharType="begin">
          <w:ffData>
            <w:name w:val="FD"/>
            <w:enabled/>
            <w:calcOnExit w:val="0"/>
            <w:textInput>
              <w:default w:val="03"/>
              <w:maxLength w:val="2"/>
            </w:textInput>
          </w:ffData>
        </w:fldChar>
      </w:r>
      <w:r>
        <w:rPr>
          <w:rFonts w:ascii="黑体" w:eastAsia="黑体"/>
          <w:color w:val="000000"/>
          <w:sz w:val="28"/>
          <w:lang w:bidi="ar-SA"/>
        </w:rPr>
        <w:instrText xml:space="preserve">FORMTEXT</w:instrText>
      </w:r>
      <w:r>
        <w:rPr>
          <w:rFonts w:ascii="黑体" w:eastAsia="黑体"/>
          <w:color w:val="000000"/>
          <w:sz w:val="28"/>
          <w:lang w:bidi="ar-SA"/>
        </w:rPr>
        <w:fldChar w:fldCharType="separate"/>
      </w:r>
      <w:r>
        <w:rPr>
          <w:rFonts w:ascii="黑体" w:eastAsia="黑体"/>
          <w:color w:val="000000"/>
          <w:sz w:val="28"/>
          <w:lang w:bidi="ar-SA"/>
        </w:rPr>
        <w:t>03</w:t>
      </w:r>
      <w:r>
        <w:rPr>
          <w:rFonts w:ascii="黑体" w:eastAsia="黑体"/>
          <w:color w:val="000000"/>
          <w:sz w:val="28"/>
          <w:lang w:bidi="ar-SA"/>
        </w:rPr>
        <w:fldChar w:fldCharType="end"/>
      </w:r>
      <w:bookmarkEnd w:id="16"/>
      <w:r>
        <w:rPr>
          <w:rFonts w:hint="eastAsia"/>
          <w:color w:val="000000"/>
        </w:rPr>
        <w:t>发布</w:t>
      </w:r>
      <w:r>
        <w:rPr>
          <w:color w:val="000000"/>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e0wwb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Vt+w5kDSw1/+v7j6ecv&#10;VhdxxoANxdy7TSSp8g7DJmamhy7a/CcO7FAEPZ4FVYfEBB3e1sTqLWktnn3V5WKImD4qb1k2Wm60&#10;y1yhgf0nTJSMQp9D8rFxbGz5+5sFFSqABq+jhpNpAxWPri930RstH7Qx+QbGfntvIttDbn75cr8J&#10;96+wnGQNOExxxTWNxaBAfnC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3tMMG&#10;5gEAANwDAAAOAAAAAAAAAAEAIAAAACUBAABkcnMvZTJvRG9jLnhtbFBLBQYAAAAABgAGAFkBAAB9&#10;BQAAAAA=&#10;">
                <v:fill on="f" focussize="0,0"/>
                <v:stroke color="#000000" joinstyle="round"/>
                <v:imagedata o:title=""/>
                <o:lock v:ext="edit" aspectratio="f"/>
                <w10:anchorlock/>
              </v:line>
            </w:pict>
          </mc:Fallback>
        </mc:AlternateContent>
      </w:r>
    </w:p>
    <w:p w14:paraId="7772D0C4">
      <w:pPr>
        <w:pStyle w:val="111"/>
        <w:rPr>
          <w:color w:val="000000"/>
        </w:rPr>
      </w:pPr>
      <w:bookmarkStart w:id="17" w:name="SY"/>
      <w:r>
        <w:rPr>
          <w:rFonts w:ascii="黑体" w:eastAsia="黑体"/>
          <w:color w:val="000000"/>
          <w:sz w:val="28"/>
          <w:lang w:bidi="ar-SA"/>
        </w:rPr>
        <w:fldChar w:fldCharType="begin">
          <w:ffData>
            <w:name w:val="SY"/>
            <w:enabled/>
            <w:calcOnExit w:val="0"/>
            <w:textInput>
              <w:default w:val="2022"/>
              <w:maxLength w:val="4"/>
            </w:textInput>
          </w:ffData>
        </w:fldChar>
      </w:r>
      <w:r>
        <w:rPr>
          <w:rFonts w:ascii="黑体" w:eastAsia="黑体"/>
          <w:color w:val="000000"/>
          <w:sz w:val="28"/>
          <w:lang w:bidi="ar-SA"/>
        </w:rPr>
        <w:instrText xml:space="preserve">FORMTEXT</w:instrText>
      </w:r>
      <w:r>
        <w:rPr>
          <w:rFonts w:ascii="黑体" w:eastAsia="黑体"/>
          <w:color w:val="000000"/>
          <w:sz w:val="28"/>
          <w:lang w:bidi="ar-SA"/>
        </w:rPr>
        <w:fldChar w:fldCharType="separate"/>
      </w:r>
      <w:r>
        <w:rPr>
          <w:rFonts w:ascii="黑体" w:eastAsia="黑体"/>
          <w:color w:val="000000"/>
          <w:sz w:val="28"/>
          <w:lang w:bidi="ar-SA"/>
        </w:rPr>
        <w:t>2022</w:t>
      </w:r>
      <w:r>
        <w:rPr>
          <w:rFonts w:ascii="黑体" w:eastAsia="黑体"/>
          <w:color w:val="000000"/>
          <w:sz w:val="28"/>
          <w:lang w:bidi="ar-SA"/>
        </w:rPr>
        <w:fldChar w:fldCharType="end"/>
      </w:r>
      <w:bookmarkEnd w:id="17"/>
      <w:r>
        <w:rPr>
          <w:color w:val="000000"/>
        </w:rPr>
        <w:t xml:space="preserve"> </w:t>
      </w:r>
      <w:r>
        <w:rPr>
          <w:rFonts w:ascii="黑体"/>
          <w:color w:val="000000"/>
        </w:rPr>
        <w:t>-</w:t>
      </w:r>
      <w:r>
        <w:rPr>
          <w:color w:val="000000"/>
        </w:rPr>
        <w:t xml:space="preserve"> </w:t>
      </w:r>
      <w:bookmarkStart w:id="18" w:name="SM"/>
      <w:r>
        <w:rPr>
          <w:rFonts w:ascii="黑体" w:eastAsia="黑体"/>
          <w:color w:val="000000"/>
          <w:sz w:val="28"/>
          <w:lang w:bidi="ar-SA"/>
        </w:rPr>
        <w:fldChar w:fldCharType="begin">
          <w:ffData>
            <w:name w:val="SM"/>
            <w:enabled/>
            <w:calcOnExit w:val="0"/>
            <w:textInput>
              <w:default w:val="03"/>
              <w:maxLength w:val="2"/>
            </w:textInput>
          </w:ffData>
        </w:fldChar>
      </w:r>
      <w:r>
        <w:rPr>
          <w:rFonts w:ascii="黑体" w:eastAsia="黑体"/>
          <w:color w:val="000000"/>
          <w:sz w:val="28"/>
          <w:lang w:bidi="ar-SA"/>
        </w:rPr>
        <w:instrText xml:space="preserve">FORMTEXT</w:instrText>
      </w:r>
      <w:r>
        <w:rPr>
          <w:rFonts w:ascii="黑体" w:eastAsia="黑体"/>
          <w:color w:val="000000"/>
          <w:sz w:val="28"/>
          <w:lang w:bidi="ar-SA"/>
        </w:rPr>
        <w:fldChar w:fldCharType="separate"/>
      </w:r>
      <w:r>
        <w:rPr>
          <w:rFonts w:ascii="黑体" w:eastAsia="黑体"/>
          <w:color w:val="000000"/>
          <w:sz w:val="28"/>
          <w:lang w:bidi="ar-SA"/>
        </w:rPr>
        <w:t>03</w:t>
      </w:r>
      <w:r>
        <w:rPr>
          <w:rFonts w:ascii="黑体" w:eastAsia="黑体"/>
          <w:color w:val="000000"/>
          <w:sz w:val="28"/>
          <w:lang w:bidi="ar-SA"/>
        </w:rPr>
        <w:fldChar w:fldCharType="end"/>
      </w:r>
      <w:bookmarkEnd w:id="18"/>
      <w:r>
        <w:rPr>
          <w:color w:val="000000"/>
        </w:rPr>
        <w:t xml:space="preserve"> </w:t>
      </w:r>
      <w:r>
        <w:rPr>
          <w:rFonts w:ascii="黑体"/>
          <w:color w:val="000000"/>
        </w:rPr>
        <w:t>-</w:t>
      </w:r>
      <w:r>
        <w:rPr>
          <w:color w:val="000000"/>
        </w:rPr>
        <w:t xml:space="preserve"> </w:t>
      </w:r>
      <w:bookmarkStart w:id="19" w:name="SD"/>
      <w:r>
        <w:rPr>
          <w:rFonts w:ascii="黑体" w:eastAsia="黑体"/>
          <w:color w:val="000000"/>
          <w:sz w:val="28"/>
          <w:lang w:bidi="ar-SA"/>
        </w:rPr>
        <w:fldChar w:fldCharType="begin">
          <w:ffData>
            <w:name w:val="SD"/>
            <w:enabled/>
            <w:calcOnExit w:val="0"/>
            <w:textInput>
              <w:default w:val="01"/>
              <w:maxLength w:val="2"/>
            </w:textInput>
          </w:ffData>
        </w:fldChar>
      </w:r>
      <w:r>
        <w:rPr>
          <w:rFonts w:ascii="黑体" w:eastAsia="黑体"/>
          <w:color w:val="000000"/>
          <w:sz w:val="28"/>
          <w:lang w:bidi="ar-SA"/>
        </w:rPr>
        <w:instrText xml:space="preserve">FORMTEXT</w:instrText>
      </w:r>
      <w:r>
        <w:rPr>
          <w:rFonts w:ascii="黑体" w:eastAsia="黑体"/>
          <w:color w:val="000000"/>
          <w:sz w:val="28"/>
          <w:lang w:bidi="ar-SA"/>
        </w:rPr>
        <w:fldChar w:fldCharType="separate"/>
      </w:r>
      <w:r>
        <w:rPr>
          <w:rFonts w:ascii="黑体" w:eastAsia="黑体"/>
          <w:color w:val="000000"/>
          <w:sz w:val="28"/>
          <w:lang w:bidi="ar-SA"/>
        </w:rPr>
        <w:t>01</w:t>
      </w:r>
      <w:r>
        <w:rPr>
          <w:rFonts w:ascii="黑体" w:eastAsia="黑体"/>
          <w:color w:val="000000"/>
          <w:sz w:val="28"/>
          <w:lang w:bidi="ar-SA"/>
        </w:rPr>
        <w:fldChar w:fldCharType="end"/>
      </w:r>
      <w:bookmarkEnd w:id="19"/>
      <w:r>
        <w:rPr>
          <w:rFonts w:hint="eastAsia"/>
          <w:color w:val="000000"/>
        </w:rPr>
        <w:t>实施</w:t>
      </w:r>
    </w:p>
    <w:p w14:paraId="6B6B0F62">
      <w:pPr>
        <w:pStyle w:val="126"/>
        <w:rPr>
          <w:color w:val="000000"/>
        </w:rPr>
      </w:pPr>
      <w:r>
        <w:rPr>
          <w:color w:val="000000"/>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14:paraId="1E460BA3"/>
                        </w:txbxContent>
                      </wps:txbx>
                      <wps:bodyPr wrap="square"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bXu&#10;1tkAAAANAQAADwAAAAAAAAABACAAAAAiAAAAZHJzL2Rvd25yZXYueG1sUEsBAhQAFAAAAAgAh07i&#10;QF0PpQGvAQAAcgMAAA4AAAAAAAAAAQAgAAAAKAEAAGRycy9lMm9Eb2MueG1sUEsFBgAAAAAGAAYA&#10;WQEAAEkFAAAAAA==&#10;">
                <v:fill on="t" focussize="0,0"/>
                <v:stroke on="f"/>
                <v:imagedata o:title=""/>
                <o:lock v:ext="edit" aspectratio="f"/>
                <v:textbox>
                  <w:txbxContent>
                    <w:p w14:paraId="1E460BA3"/>
                  </w:txbxContent>
                </v:textbox>
              </v:rect>
            </w:pict>
          </mc:Fallback>
        </mc:AlternateContent>
      </w:r>
      <w:r>
        <w:rPr>
          <w:color w:val="000000"/>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14:paraId="366D96E2"/>
                        </w:txbxContent>
                      </wps:txbx>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N/J&#10;ihHaAAAADwEAAA8AAAAAAAAAAQAgAAAAIgAAAGRycy9kb3ducmV2LnhtbFBLAQIUABQAAAAIAIdO&#10;4kDFH/vPrwEAAHIDAAAOAAAAAAAAAAEAIAAAACkBAABkcnMvZTJvRG9jLnhtbFBLBQYAAAAABgAG&#10;AFkBAABKBQAAAAA=&#10;">
                <v:fill on="t" focussize="0,0"/>
                <v:stroke on="f"/>
                <v:imagedata o:title=""/>
                <o:lock v:ext="edit" aspectratio="f"/>
                <v:textbox>
                  <w:txbxContent>
                    <w:p w14:paraId="366D96E2"/>
                  </w:txbxContent>
                </v:textbox>
              </v:rect>
            </w:pict>
          </mc:Fallback>
        </mc:AlternateContent>
      </w:r>
      <w:r>
        <w:rPr>
          <w:color w:val="000000"/>
          <w:w w:val="1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slkaDY&#10;AAAADwEAAA8AAAAAAAAAAQAgAAAAIgAAAGRycy9kb3ducmV2LnhtbFBLAQIUABQAAAAIAIdO4kAB&#10;DqeS5wEAANwDAAAOAAAAAAAAAAEAIAAAACcBAABkcnMvZTJvRG9jLnhtbFBLBQYAAAAABgAGAFkB&#10;AACABQAAAAA=&#10;">
                <v:fill on="f" focussize="0,0"/>
                <v:stroke color="#000000" joinstyle="round"/>
                <v:imagedata o:title=""/>
                <o:lock v:ext="edit" aspectratio="f"/>
              </v:line>
            </w:pict>
          </mc:Fallback>
        </mc:AlternateContent>
      </w:r>
      <w:r>
        <w:rPr>
          <w:color w:val="000000"/>
        </w:rPr>
        <w:fldChar w:fldCharType="begin">
          <w:ffData>
            <w:name w:val="fm"/>
            <w:enabled/>
            <w:calcOnExit w:val="0"/>
            <w:textInput/>
          </w:ffData>
        </w:fldChar>
      </w:r>
      <w:r>
        <w:rPr>
          <w:color w:val="000000"/>
        </w:rPr>
        <w:instrText xml:space="preserve"> FORMTEXT </w:instrText>
      </w:r>
      <w:r>
        <w:rPr>
          <w:color w:val="000000"/>
        </w:rPr>
        <w:fldChar w:fldCharType="separate"/>
      </w:r>
      <w:r>
        <w:rPr>
          <w:rFonts w:hint="eastAsia"/>
          <w:color w:val="000000"/>
        </w:rPr>
        <w:t>江西省市场监督管理局</w:t>
      </w:r>
      <w:r>
        <w:rPr>
          <w:color w:val="000000"/>
        </w:rPr>
        <w:fldChar w:fldCharType="end"/>
      </w:r>
      <w:r>
        <w:rPr>
          <w:rFonts w:hAnsi="黑体"/>
          <w:color w:val="000000"/>
        </w:rPr>
        <w:t>   </w:t>
      </w:r>
      <w:r>
        <w:rPr>
          <w:rStyle w:val="45"/>
          <w:rFonts w:hint="eastAsia"/>
          <w:color w:val="000000"/>
        </w:rPr>
        <w:t>发布</w:t>
      </w:r>
    </w:p>
    <w:p w14:paraId="46F47833">
      <w:pPr>
        <w:pStyle w:val="22"/>
        <w:rPr>
          <w:color w:val="000000"/>
        </w:rPr>
        <w:sectPr>
          <w:headerReference r:id="rId3" w:type="even"/>
          <w:footerReference r:id="rId4" w:type="even"/>
          <w:pgSz w:w="11906" w:h="16838"/>
          <w:pgMar w:top="567" w:right="1134" w:bottom="1134" w:left="1417" w:header="0" w:footer="0" w:gutter="0"/>
          <w:pgNumType w:start="1"/>
          <w:cols w:space="720" w:num="1"/>
          <w:docGrid w:type="lines" w:linePitch="312" w:charSpace="0"/>
        </w:sectPr>
      </w:pPr>
    </w:p>
    <w:p w14:paraId="0EC3EA34">
      <w:pPr>
        <w:pStyle w:val="87"/>
        <w:rPr>
          <w:rFonts w:hint="eastAsia"/>
        </w:rPr>
      </w:pPr>
      <w:bookmarkStart w:id="20" w:name="_Toc16756617"/>
      <w:r>
        <w:rPr>
          <w:rFonts w:hint="eastAsia"/>
        </w:rPr>
        <w:t>目</w:t>
      </w:r>
      <w:bookmarkStart w:id="21" w:name="BKML"/>
      <w:r>
        <w:rPr>
          <w:rFonts w:hAnsi="黑体"/>
        </w:rPr>
        <w:t>  </w:t>
      </w:r>
      <w:r>
        <w:rPr>
          <w:rFonts w:hint="eastAsia"/>
        </w:rPr>
        <w:t>次</w:t>
      </w:r>
      <w:bookmarkEnd w:id="21"/>
    </w:p>
    <w:p w14:paraId="115EB8B7">
      <w:pPr>
        <w:pStyle w:val="18"/>
        <w:spacing w:before="78" w:after="78"/>
        <w:rPr>
          <w:rFonts w:ascii="等线" w:hAnsi="等线" w:eastAsia="等线"/>
          <w:szCs w:val="22"/>
        </w:rPr>
      </w:pPr>
      <w:r>
        <w:fldChar w:fldCharType="begin" w:fldLock="1"/>
      </w:r>
      <w:r>
        <w:instrText xml:space="preserve"> </w:instrText>
      </w:r>
      <w:r>
        <w:rPr>
          <w:rFonts w:hint="eastAsia"/>
        </w:rPr>
        <w:instrText xml:space="preserve">TOC \h \z \t"前言、引言标题,1,参考文献、索引标题,1,章标题,1,参考文献,1,附录标识,1" \* MERGEFORMAT</w:instrText>
      </w:r>
      <w:r>
        <w:instrText xml:space="preserve"> </w:instrText>
      </w:r>
      <w:r>
        <w:fldChar w:fldCharType="separate"/>
      </w:r>
      <w:r>
        <w:rPr>
          <w:rStyle w:val="37"/>
        </w:rPr>
        <w:fldChar w:fldCharType="begin" w:fldLock="1"/>
      </w:r>
      <w:r>
        <w:rPr>
          <w:rStyle w:val="37"/>
        </w:rPr>
        <w:instrText xml:space="preserve"> </w:instrText>
      </w:r>
      <w:r>
        <w:instrText xml:space="preserve">HYPERLINK \l "_Toc66282445"</w:instrText>
      </w:r>
      <w:r>
        <w:rPr>
          <w:rStyle w:val="37"/>
        </w:rPr>
        <w:instrText xml:space="preserve"> </w:instrText>
      </w:r>
      <w:r>
        <w:rPr>
          <w:rStyle w:val="37"/>
        </w:rPr>
        <w:fldChar w:fldCharType="separate"/>
      </w:r>
      <w:r>
        <w:rPr>
          <w:rStyle w:val="37"/>
        </w:rPr>
        <w:t>前言</w:t>
      </w:r>
      <w:r>
        <w:tab/>
      </w:r>
      <w:r>
        <w:fldChar w:fldCharType="begin" w:fldLock="1"/>
      </w:r>
      <w:r>
        <w:instrText xml:space="preserve"> PAGEREF _Toc66282445 \h </w:instrText>
      </w:r>
      <w:r>
        <w:fldChar w:fldCharType="separate"/>
      </w:r>
      <w:r>
        <w:t>II</w:t>
      </w:r>
      <w:r>
        <w:fldChar w:fldCharType="end"/>
      </w:r>
      <w:r>
        <w:rPr>
          <w:rStyle w:val="37"/>
        </w:rPr>
        <w:fldChar w:fldCharType="end"/>
      </w:r>
    </w:p>
    <w:p w14:paraId="28655C27">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"_Toc66282446"</w:instrText>
      </w:r>
      <w:r>
        <w:rPr>
          <w:rStyle w:val="37"/>
        </w:rPr>
        <w:instrText xml:space="preserve"> </w:instrText>
      </w:r>
      <w:r>
        <w:rPr>
          <w:rStyle w:val="37"/>
        </w:rPr>
        <w:fldChar w:fldCharType="separate"/>
      </w:r>
      <w:r>
        <w:rPr>
          <w:rStyle w:val="37"/>
        </w:rPr>
        <w:t>1 范围</w:t>
      </w:r>
      <w:r>
        <w:tab/>
      </w:r>
      <w:r>
        <w:fldChar w:fldCharType="begin" w:fldLock="1"/>
      </w:r>
      <w:r>
        <w:instrText xml:space="preserve"> PAGEREF _Toc66282446 \h </w:instrText>
      </w:r>
      <w:r>
        <w:fldChar w:fldCharType="separate"/>
      </w:r>
      <w:r>
        <w:t>1</w:t>
      </w:r>
      <w:r>
        <w:fldChar w:fldCharType="end"/>
      </w:r>
      <w:r>
        <w:rPr>
          <w:rStyle w:val="37"/>
        </w:rPr>
        <w:fldChar w:fldCharType="end"/>
      </w:r>
    </w:p>
    <w:p w14:paraId="74DB60E7">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"_Toc66282447"</w:instrText>
      </w:r>
      <w:r>
        <w:rPr>
          <w:rStyle w:val="37"/>
        </w:rPr>
        <w:instrText xml:space="preserve"> </w:instrText>
      </w:r>
      <w:r>
        <w:rPr>
          <w:rStyle w:val="37"/>
        </w:rPr>
        <w:fldChar w:fldCharType="separate"/>
      </w:r>
      <w:r>
        <w:rPr>
          <w:rStyle w:val="37"/>
        </w:rPr>
        <w:t>2 规范性引用文件</w:t>
      </w:r>
      <w:r>
        <w:tab/>
      </w:r>
      <w:r>
        <w:fldChar w:fldCharType="begin" w:fldLock="1"/>
      </w:r>
      <w:r>
        <w:instrText xml:space="preserve"> PAGEREF _Toc66282447 \h </w:instrText>
      </w:r>
      <w:r>
        <w:fldChar w:fldCharType="separate"/>
      </w:r>
      <w:r>
        <w:t>1</w:t>
      </w:r>
      <w:r>
        <w:fldChar w:fldCharType="end"/>
      </w:r>
      <w:r>
        <w:rPr>
          <w:rStyle w:val="37"/>
        </w:rPr>
        <w:fldChar w:fldCharType="end"/>
      </w:r>
    </w:p>
    <w:p w14:paraId="3D9BA390">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"_Toc66282448"</w:instrText>
      </w:r>
      <w:r>
        <w:rPr>
          <w:rStyle w:val="37"/>
        </w:rPr>
        <w:instrText xml:space="preserve"> </w:instrText>
      </w:r>
      <w:r>
        <w:rPr>
          <w:rStyle w:val="37"/>
        </w:rPr>
        <w:fldChar w:fldCharType="separate"/>
      </w:r>
      <w:r>
        <w:rPr>
          <w:rStyle w:val="37"/>
        </w:rPr>
        <w:t>3 术语和定义</w:t>
      </w:r>
      <w:r>
        <w:tab/>
      </w:r>
      <w:r>
        <w:fldChar w:fldCharType="begin" w:fldLock="1"/>
      </w:r>
      <w:r>
        <w:instrText xml:space="preserve"> PAGEREF _Toc66282448 \h </w:instrText>
      </w:r>
      <w:r>
        <w:fldChar w:fldCharType="separate"/>
      </w:r>
      <w:r>
        <w:t>1</w:t>
      </w:r>
      <w:r>
        <w:fldChar w:fldCharType="end"/>
      </w:r>
      <w:r>
        <w:rPr>
          <w:rStyle w:val="37"/>
        </w:rPr>
        <w:fldChar w:fldCharType="end"/>
      </w:r>
    </w:p>
    <w:p w14:paraId="416ABA01">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"_Toc66282449"</w:instrText>
      </w:r>
      <w:r>
        <w:rPr>
          <w:rStyle w:val="37"/>
        </w:rPr>
        <w:instrText xml:space="preserve"> </w:instrText>
      </w:r>
      <w:r>
        <w:rPr>
          <w:rStyle w:val="37"/>
        </w:rPr>
        <w:fldChar w:fldCharType="separate"/>
      </w:r>
      <w:r>
        <w:rPr>
          <w:rStyle w:val="37"/>
        </w:rPr>
        <w:t>4 地理标志产品保护范围</w:t>
      </w:r>
      <w:r>
        <w:tab/>
      </w:r>
      <w:r>
        <w:fldChar w:fldCharType="begin" w:fldLock="1"/>
      </w:r>
      <w:r>
        <w:instrText xml:space="preserve"> PAGEREF _Toc66282449 \h </w:instrText>
      </w:r>
      <w:r>
        <w:fldChar w:fldCharType="separate"/>
      </w:r>
      <w:r>
        <w:t>1</w:t>
      </w:r>
      <w:r>
        <w:fldChar w:fldCharType="end"/>
      </w:r>
      <w:r>
        <w:rPr>
          <w:rStyle w:val="37"/>
        </w:rPr>
        <w:fldChar w:fldCharType="end"/>
      </w:r>
    </w:p>
    <w:p w14:paraId="18EE2D61">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"_Toc66282450"</w:instrText>
      </w:r>
      <w:r>
        <w:rPr>
          <w:rStyle w:val="37"/>
        </w:rPr>
        <w:instrText xml:space="preserve"> </w:instrText>
      </w:r>
      <w:r>
        <w:rPr>
          <w:rStyle w:val="37"/>
        </w:rPr>
        <w:fldChar w:fldCharType="separate"/>
      </w:r>
      <w:r>
        <w:rPr>
          <w:rStyle w:val="37"/>
        </w:rPr>
        <w:t>5 要求</w:t>
      </w:r>
      <w:r>
        <w:tab/>
      </w:r>
      <w:r>
        <w:fldChar w:fldCharType="begin" w:fldLock="1"/>
      </w:r>
      <w:r>
        <w:instrText xml:space="preserve"> PAGEREF _Toc66282450 \h </w:instrText>
      </w:r>
      <w:r>
        <w:fldChar w:fldCharType="separate"/>
      </w:r>
      <w:r>
        <w:t>2</w:t>
      </w:r>
      <w:r>
        <w:fldChar w:fldCharType="end"/>
      </w:r>
      <w:r>
        <w:rPr>
          <w:rStyle w:val="37"/>
        </w:rPr>
        <w:fldChar w:fldCharType="end"/>
      </w:r>
    </w:p>
    <w:p w14:paraId="29597A0B">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"_Toc66282451"</w:instrText>
      </w:r>
      <w:r>
        <w:rPr>
          <w:rStyle w:val="37"/>
        </w:rPr>
        <w:instrText xml:space="preserve"> </w:instrText>
      </w:r>
      <w:r>
        <w:rPr>
          <w:rStyle w:val="37"/>
        </w:rPr>
        <w:fldChar w:fldCharType="separate"/>
      </w:r>
      <w:r>
        <w:rPr>
          <w:rStyle w:val="37"/>
        </w:rPr>
        <w:t>6 试验方法</w:t>
      </w:r>
      <w:r>
        <w:tab/>
      </w:r>
      <w:r>
        <w:fldChar w:fldCharType="begin" w:fldLock="1"/>
      </w:r>
      <w:r>
        <w:instrText xml:space="preserve"> PAGEREF _Toc66282451 \h </w:instrText>
      </w:r>
      <w:r>
        <w:fldChar w:fldCharType="separate"/>
      </w:r>
      <w:r>
        <w:t>3</w:t>
      </w:r>
      <w:r>
        <w:fldChar w:fldCharType="end"/>
      </w:r>
      <w:r>
        <w:rPr>
          <w:rStyle w:val="37"/>
        </w:rPr>
        <w:fldChar w:fldCharType="end"/>
      </w:r>
    </w:p>
    <w:p w14:paraId="0522EF69">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"_Toc66282452"</w:instrText>
      </w:r>
      <w:r>
        <w:rPr>
          <w:rStyle w:val="37"/>
        </w:rPr>
        <w:instrText xml:space="preserve"> </w:instrText>
      </w:r>
      <w:r>
        <w:rPr>
          <w:rStyle w:val="37"/>
        </w:rPr>
        <w:fldChar w:fldCharType="separate"/>
      </w:r>
      <w:r>
        <w:rPr>
          <w:rStyle w:val="37"/>
        </w:rPr>
        <w:t>7 检验规则</w:t>
      </w:r>
      <w:r>
        <w:tab/>
      </w:r>
      <w:r>
        <w:fldChar w:fldCharType="begin" w:fldLock="1"/>
      </w:r>
      <w:r>
        <w:instrText xml:space="preserve"> PAGEREF _Toc66282452 \h </w:instrText>
      </w:r>
      <w:r>
        <w:fldChar w:fldCharType="separate"/>
      </w:r>
      <w:r>
        <w:t>3</w:t>
      </w:r>
      <w:r>
        <w:fldChar w:fldCharType="end"/>
      </w:r>
      <w:r>
        <w:rPr>
          <w:rStyle w:val="37"/>
        </w:rPr>
        <w:fldChar w:fldCharType="end"/>
      </w:r>
    </w:p>
    <w:p w14:paraId="74EAEACA">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"_Toc66282453"</w:instrText>
      </w:r>
      <w:r>
        <w:rPr>
          <w:rStyle w:val="37"/>
        </w:rPr>
        <w:instrText xml:space="preserve"> </w:instrText>
      </w:r>
      <w:r>
        <w:rPr>
          <w:rStyle w:val="37"/>
        </w:rPr>
        <w:fldChar w:fldCharType="separate"/>
      </w:r>
      <w:r>
        <w:rPr>
          <w:rStyle w:val="37"/>
        </w:rPr>
        <w:t>8 标识、包装、贮藏</w:t>
      </w:r>
      <w:r>
        <w:rPr>
          <w:rStyle w:val="37"/>
          <w:rFonts w:hint="eastAsia"/>
          <w:lang w:eastAsia="zh-CN"/>
        </w:rPr>
        <w:t>、</w:t>
      </w:r>
      <w:r>
        <w:rPr>
          <w:rStyle w:val="37"/>
        </w:rPr>
        <w:t>运输</w:t>
      </w:r>
      <w:r>
        <w:rPr>
          <w:rStyle w:val="37"/>
          <w:rFonts w:hint="eastAsia"/>
          <w:color w:val="0000FF"/>
          <w:lang w:eastAsia="zh-CN"/>
        </w:rPr>
        <w:t>和追溯管理</w:t>
      </w:r>
      <w:r>
        <w:tab/>
      </w:r>
      <w:r>
        <w:fldChar w:fldCharType="begin" w:fldLock="1"/>
      </w:r>
      <w:r>
        <w:instrText xml:space="preserve"> PAGEREF _Toc66282453 \h </w:instrText>
      </w:r>
      <w:r>
        <w:fldChar w:fldCharType="separate"/>
      </w:r>
      <w:r>
        <w:t>4</w:t>
      </w:r>
      <w:r>
        <w:fldChar w:fldCharType="end"/>
      </w:r>
      <w:r>
        <w:rPr>
          <w:rStyle w:val="37"/>
        </w:rPr>
        <w:fldChar w:fldCharType="end"/>
      </w:r>
    </w:p>
    <w:p w14:paraId="754CD2AC">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"_Toc66282454"</w:instrText>
      </w:r>
      <w:r>
        <w:rPr>
          <w:rStyle w:val="37"/>
        </w:rPr>
        <w:instrText xml:space="preserve"> </w:instrText>
      </w:r>
      <w:r>
        <w:rPr>
          <w:rStyle w:val="37"/>
        </w:rPr>
        <w:fldChar w:fldCharType="separate"/>
      </w:r>
      <w:r>
        <w:rPr>
          <w:rStyle w:val="37"/>
        </w:rPr>
        <w:t>附录A （规范性）樟树黄栀子地理标志产品保护范围</w:t>
      </w:r>
      <w:r>
        <w:tab/>
      </w:r>
      <w:r>
        <w:fldChar w:fldCharType="begin" w:fldLock="1"/>
      </w:r>
      <w:r>
        <w:instrText xml:space="preserve"> PAGEREF _Toc66282454 \h </w:instrText>
      </w:r>
      <w:r>
        <w:fldChar w:fldCharType="separate"/>
      </w:r>
      <w:r>
        <w:t>5</w:t>
      </w:r>
      <w:r>
        <w:fldChar w:fldCharType="end"/>
      </w:r>
      <w:r>
        <w:rPr>
          <w:rStyle w:val="37"/>
        </w:rPr>
        <w:fldChar w:fldCharType="end"/>
      </w:r>
    </w:p>
    <w:p w14:paraId="33DD00EB">
      <w:pPr>
        <w:pStyle w:val="18"/>
        <w:spacing w:before="78" w:after="78"/>
        <w:rPr>
          <w:rFonts w:ascii="等线" w:hAnsi="等线" w:eastAsia="等线"/>
          <w:szCs w:val="22"/>
        </w:rPr>
      </w:pPr>
      <w:r>
        <w:rPr>
          <w:rStyle w:val="37"/>
        </w:rPr>
        <w:fldChar w:fldCharType="begin" w:fldLock="1"/>
      </w:r>
      <w:r>
        <w:rPr>
          <w:rStyle w:val="37"/>
        </w:rPr>
        <w:instrText xml:space="preserve"> </w:instrText>
      </w:r>
      <w:r>
        <w:instrText xml:space="preserve">HYPERLINK \l "_Toc66282455"</w:instrText>
      </w:r>
      <w:r>
        <w:rPr>
          <w:rStyle w:val="37"/>
        </w:rPr>
        <w:instrText xml:space="preserve"> </w:instrText>
      </w:r>
      <w:r>
        <w:rPr>
          <w:rStyle w:val="37"/>
        </w:rPr>
        <w:fldChar w:fldCharType="separate"/>
      </w:r>
      <w:r>
        <w:rPr>
          <w:rStyle w:val="37"/>
        </w:rPr>
        <w:t>附录B （</w:t>
      </w:r>
      <w:r>
        <w:rPr>
          <w:rStyle w:val="37"/>
          <w:rFonts w:hint="eastAsia"/>
          <w:lang w:eastAsia="zh-CN"/>
        </w:rPr>
        <w:t>资料</w:t>
      </w:r>
      <w:r>
        <w:rPr>
          <w:rStyle w:val="37"/>
        </w:rPr>
        <w:t>性）樟树黄栀子栽培技术</w:t>
      </w:r>
      <w:r>
        <w:tab/>
      </w:r>
      <w:r>
        <w:fldChar w:fldCharType="begin" w:fldLock="1"/>
      </w:r>
      <w:r>
        <w:instrText xml:space="preserve"> PAGEREF _Toc66282455 \h </w:instrText>
      </w:r>
      <w:r>
        <w:fldChar w:fldCharType="separate"/>
      </w:r>
      <w:r>
        <w:t>6</w:t>
      </w:r>
      <w:r>
        <w:fldChar w:fldCharType="end"/>
      </w:r>
      <w:r>
        <w:rPr>
          <w:rStyle w:val="37"/>
        </w:rPr>
        <w:fldChar w:fldCharType="end"/>
      </w:r>
    </w:p>
    <w:p w14:paraId="79AFE007">
      <w:pPr>
        <w:pStyle w:val="22"/>
        <w:rPr>
          <w:rFonts w:hint="eastAsia"/>
        </w:rPr>
      </w:pPr>
      <w:r>
        <w:fldChar w:fldCharType="end"/>
      </w:r>
    </w:p>
    <w:p w14:paraId="778B776D">
      <w:pPr>
        <w:pStyle w:val="133"/>
        <w:rPr>
          <w:rFonts w:hint="eastAsia"/>
          <w:color w:val="000000"/>
        </w:rPr>
      </w:pPr>
      <w:bookmarkStart w:id="22" w:name="_Toc66282445"/>
      <w:r>
        <w:rPr>
          <w:rFonts w:hint="eastAsia"/>
          <w:color w:val="000000"/>
        </w:rPr>
        <w:t>前</w:t>
      </w:r>
      <w:bookmarkStart w:id="23" w:name="BKQY"/>
      <w:r>
        <w:rPr>
          <w:rFonts w:hAnsi="黑体"/>
          <w:color w:val="000000"/>
        </w:rPr>
        <w:t>  </w:t>
      </w:r>
      <w:r>
        <w:rPr>
          <w:rFonts w:hint="eastAsia"/>
          <w:color w:val="000000"/>
        </w:rPr>
        <w:t>言</w:t>
      </w:r>
      <w:bookmarkEnd w:id="20"/>
      <w:bookmarkEnd w:id="22"/>
      <w:bookmarkEnd w:id="23"/>
    </w:p>
    <w:p w14:paraId="2A393C15">
      <w:pPr>
        <w:pStyle w:val="22"/>
        <w:rPr>
          <w:rFonts w:hint="eastAsia"/>
          <w:color w:val="000000"/>
        </w:rPr>
      </w:pPr>
      <w:r>
        <w:rPr>
          <w:rFonts w:hint="eastAsia"/>
          <w:color w:val="000000"/>
        </w:rPr>
        <w:t>本文件按照GB/T 1.1-2020《标准化工作导则 第1部分：标准化文件的结构和起草规则》的规定起草。</w:t>
      </w:r>
    </w:p>
    <w:p w14:paraId="328081BD">
      <w:pPr>
        <w:pStyle w:val="22"/>
        <w:rPr>
          <w:rFonts w:hint="eastAsia" w:eastAsia="宋体"/>
          <w:color w:val="000000"/>
          <w:lang w:val="en-US" w:eastAsia="zh-CN"/>
        </w:rPr>
      </w:pPr>
      <w:r>
        <w:rPr>
          <w:rFonts w:hint="eastAsia"/>
          <w:color w:val="000000"/>
          <w:lang w:val="en-US" w:eastAsia="zh-CN"/>
        </w:rPr>
        <w:t>请注意本文件的某些内容可能涉及专利。本文件的发布机构不承担识别专利的责任。</w:t>
      </w:r>
    </w:p>
    <w:p w14:paraId="33C13C68">
      <w:pPr>
        <w:pStyle w:val="22"/>
        <w:bidi w:val="0"/>
        <w:rPr>
          <w:rFonts w:hint="eastAsia"/>
        </w:rPr>
      </w:pPr>
      <w:r>
        <w:rPr>
          <w:rFonts w:hint="eastAsia"/>
        </w:rPr>
        <w:t>本文件由江西省市场监督管理局提出。</w:t>
      </w:r>
    </w:p>
    <w:p w14:paraId="0728FABE">
      <w:pPr>
        <w:pStyle w:val="22"/>
        <w:bidi w:val="0"/>
        <w:rPr>
          <w:rFonts w:hint="eastAsia"/>
        </w:rPr>
      </w:pPr>
      <w:r>
        <w:rPr>
          <w:rFonts w:hint="eastAsia"/>
        </w:rPr>
        <w:t>本文件由江西省地理标志产品标准化技术委员会</w:t>
      </w:r>
      <w:r>
        <w:rPr>
          <w:rFonts w:hint="eastAsia"/>
          <w:lang w:eastAsia="zh-CN"/>
        </w:rPr>
        <w:t>（JX/TC43）</w:t>
      </w:r>
      <w:r>
        <w:rPr>
          <w:rFonts w:hint="eastAsia"/>
        </w:rPr>
        <w:t>归口。</w:t>
      </w:r>
    </w:p>
    <w:p w14:paraId="3DC39C7E">
      <w:pPr>
        <w:pStyle w:val="22"/>
        <w:rPr>
          <w:rFonts w:hint="eastAsia"/>
          <w:color w:val="000000"/>
        </w:rPr>
      </w:pPr>
      <w:r>
        <w:rPr>
          <w:rFonts w:hint="eastAsia"/>
          <w:color w:val="000000"/>
        </w:rPr>
        <w:t>本文件起草单位：樟树市市场监督管理局、樟树市中医药管理局、江西省质量和标准化研究院、江西智汇中药材种植有限公司。</w:t>
      </w:r>
    </w:p>
    <w:p w14:paraId="07058A8F">
      <w:pPr>
        <w:pStyle w:val="22"/>
        <w:rPr>
          <w:rFonts w:hint="eastAsia"/>
          <w:color w:val="000000"/>
        </w:rPr>
        <w:sectPr>
          <w:headerReference r:id="rId5" w:type="default"/>
          <w:footerReference r:id="rId6" w:type="default"/>
          <w:pgSz w:w="11906" w:h="16838"/>
          <w:pgMar w:top="567" w:right="1134" w:bottom="1134" w:left="1417" w:header="1418" w:footer="1134" w:gutter="0"/>
          <w:pgNumType w:fmt="upperRoman" w:start="1"/>
          <w:cols w:space="720" w:num="1"/>
          <w:formProt w:val="0"/>
          <w:docGrid w:type="lines" w:linePitch="312" w:charSpace="0"/>
        </w:sectPr>
      </w:pPr>
      <w:r>
        <w:rPr>
          <w:rFonts w:hint="eastAsia"/>
          <w:color w:val="000000"/>
        </w:rPr>
        <w:t>本文件主要起草人：刘宇、孙玉平、陈强、许芳、方梅玲、曾建华、</w:t>
      </w:r>
      <w:r>
        <w:rPr>
          <w:rFonts w:hint="eastAsia"/>
          <w:color w:val="000000"/>
          <w:lang w:eastAsia="zh-CN"/>
        </w:rPr>
        <w:t>吴仁都、</w:t>
      </w:r>
      <w:r>
        <w:rPr>
          <w:rFonts w:hint="eastAsia"/>
          <w:color w:val="000000"/>
        </w:rPr>
        <w:t>汪秋雨、余君、张丹、刘细流。</w:t>
      </w:r>
    </w:p>
    <w:p w14:paraId="52EAFAC6">
      <w:pPr>
        <w:pStyle w:val="87"/>
        <w:rPr>
          <w:rFonts w:hint="eastAsia"/>
          <w:color w:val="000000"/>
        </w:rPr>
      </w:pPr>
      <w:bookmarkStart w:id="24" w:name="StandardName"/>
      <w:r>
        <w:rPr>
          <w:rFonts w:hint="eastAsia"/>
          <w:color w:val="000000"/>
        </w:rPr>
        <w:t>地理标志产品 樟树黄栀子</w:t>
      </w:r>
      <w:bookmarkEnd w:id="24"/>
    </w:p>
    <w:p w14:paraId="7F47391B">
      <w:pPr>
        <w:pStyle w:val="57"/>
        <w:numPr>
          <w:ilvl w:val="0"/>
          <w:numId w:val="0"/>
        </w:numPr>
        <w:ind w:left="0" w:leftChars="0" w:firstLine="0" w:firstLineChars="0"/>
        <w:rPr>
          <w:rFonts w:hint="eastAsia"/>
          <w:color w:val="000000"/>
        </w:rPr>
      </w:pPr>
      <w:bookmarkStart w:id="25" w:name="_Toc66282446"/>
      <w:bookmarkStart w:id="26" w:name="_Toc16756618"/>
      <w:r>
        <w:rPr>
          <w:rFonts w:hint="eastAsia" w:ascii="黑体" w:hAnsi="Times New Roman" w:eastAsia="黑体"/>
          <w:b w:val="0"/>
          <w:i w:val="0"/>
          <w:color w:val="000000"/>
          <w:sz w:val="21"/>
          <w:szCs w:val="21"/>
          <w:lang w:val="en-US" w:eastAsia="zh-CN" w:bidi="ar-SA"/>
        </w:rPr>
        <w:t>1　</w:t>
      </w:r>
      <w:r>
        <w:rPr>
          <w:rFonts w:hint="eastAsia"/>
          <w:color w:val="000000"/>
        </w:rPr>
        <w:t>范围</w:t>
      </w:r>
      <w:bookmarkEnd w:id="25"/>
      <w:bookmarkEnd w:id="26"/>
    </w:p>
    <w:p w14:paraId="31602A8A">
      <w:pPr>
        <w:pStyle w:val="22"/>
        <w:rPr>
          <w:rFonts w:hint="eastAsia"/>
          <w:color w:val="000000"/>
        </w:rPr>
      </w:pPr>
      <w:bookmarkStart w:id="27" w:name="_Toc16756619"/>
      <w:bookmarkStart w:id="28" w:name="_Toc66282447"/>
      <w:r>
        <w:rPr>
          <w:rFonts w:hint="eastAsia"/>
          <w:color w:val="000000"/>
        </w:rPr>
        <w:t>本文件规定了</w:t>
      </w:r>
      <w:r>
        <w:rPr>
          <w:rFonts w:hint="eastAsia"/>
          <w:color w:val="000000"/>
          <w:lang w:eastAsia="zh-CN"/>
        </w:rPr>
        <w:t>地理标志产品</w:t>
      </w:r>
      <w:r>
        <w:rPr>
          <w:rFonts w:hint="eastAsia"/>
          <w:color w:val="000000"/>
        </w:rPr>
        <w:t>樟树</w:t>
      </w:r>
      <w:r>
        <w:rPr>
          <w:rFonts w:hint="eastAsia"/>
          <w:color w:val="000000"/>
          <w:lang w:eastAsia="zh-CN"/>
        </w:rPr>
        <w:t>黄栀子</w:t>
      </w:r>
      <w:r>
        <w:rPr>
          <w:rFonts w:hint="eastAsia"/>
          <w:color w:val="000000"/>
        </w:rPr>
        <w:t>的术语和定义、地理标志产品</w:t>
      </w:r>
      <w:r>
        <w:rPr>
          <w:rFonts w:hint="eastAsia"/>
          <w:color w:val="000000"/>
          <w:lang w:eastAsia="zh-CN"/>
        </w:rPr>
        <w:t>产地</w:t>
      </w:r>
      <w:r>
        <w:rPr>
          <w:rFonts w:hint="eastAsia"/>
          <w:color w:val="000000"/>
        </w:rPr>
        <w:t>范围、</w:t>
      </w:r>
      <w:r>
        <w:rPr>
          <w:rFonts w:hint="eastAsia"/>
          <w:color w:val="000000"/>
          <w:lang w:eastAsia="zh-CN"/>
        </w:rPr>
        <w:t>技术</w:t>
      </w:r>
      <w:r>
        <w:rPr>
          <w:rFonts w:hint="eastAsia"/>
          <w:color w:val="000000"/>
        </w:rPr>
        <w:t>要求、检验规则、</w:t>
      </w:r>
      <w:r>
        <w:rPr>
          <w:rFonts w:hint="eastAsia"/>
          <w:color w:val="000000"/>
          <w:lang w:eastAsia="zh-CN"/>
        </w:rPr>
        <w:t>标识、包装、运输、贮藏及追溯管理</w:t>
      </w:r>
      <w:r>
        <w:rPr>
          <w:rFonts w:hint="eastAsia"/>
          <w:color w:val="000000"/>
        </w:rPr>
        <w:t>。</w:t>
      </w:r>
    </w:p>
    <w:p w14:paraId="3414E1EC">
      <w:pPr>
        <w:pStyle w:val="22"/>
        <w:rPr>
          <w:rFonts w:hint="eastAsia"/>
          <w:color w:val="000000"/>
        </w:rPr>
      </w:pPr>
      <w:r>
        <w:rPr>
          <w:rFonts w:hint="eastAsia"/>
          <w:color w:val="000000"/>
        </w:rPr>
        <w:t>本文件适用于地理标志产品</w:t>
      </w:r>
      <w:r>
        <w:rPr>
          <w:rFonts w:hint="eastAsia"/>
          <w:color w:val="000000"/>
          <w:lang w:eastAsia="zh-CN"/>
        </w:rPr>
        <w:t>樟树黄栀子</w:t>
      </w:r>
      <w:r>
        <w:rPr>
          <w:rFonts w:hint="eastAsia"/>
          <w:color w:val="000000"/>
        </w:rPr>
        <w:t>的生产、加工、流通、检验，亦适用于地理标志产品</w:t>
      </w:r>
      <w:r>
        <w:rPr>
          <w:rFonts w:hint="eastAsia"/>
          <w:color w:val="000000"/>
          <w:lang w:eastAsia="zh-CN"/>
        </w:rPr>
        <w:t>樟树黄栀子</w:t>
      </w:r>
      <w:r>
        <w:rPr>
          <w:rFonts w:hint="eastAsia"/>
          <w:color w:val="000000"/>
        </w:rPr>
        <w:t>的产权保护和管理。</w:t>
      </w:r>
    </w:p>
    <w:p w14:paraId="2F4B1063">
      <w:pPr>
        <w:pStyle w:val="57"/>
        <w:numPr>
          <w:ilvl w:val="0"/>
          <w:numId w:val="0"/>
        </w:numPr>
        <w:ind w:left="0" w:leftChars="0" w:firstLine="0" w:firstLineChars="0"/>
        <w:rPr>
          <w:rFonts w:hint="eastAsia"/>
          <w:color w:val="000000"/>
        </w:rPr>
      </w:pPr>
      <w:r>
        <w:rPr>
          <w:rFonts w:hint="eastAsia" w:ascii="黑体" w:hAnsi="Times New Roman" w:eastAsia="黑体"/>
          <w:b w:val="0"/>
          <w:i w:val="0"/>
          <w:color w:val="000000"/>
          <w:sz w:val="21"/>
          <w:szCs w:val="21"/>
          <w:lang w:val="en-US" w:eastAsia="zh-CN" w:bidi="ar-SA"/>
        </w:rPr>
        <w:t>2　</w:t>
      </w:r>
      <w:r>
        <w:rPr>
          <w:rFonts w:hint="eastAsia"/>
          <w:color w:val="000000"/>
        </w:rPr>
        <w:t>规范性引用文件</w:t>
      </w:r>
      <w:bookmarkEnd w:id="27"/>
      <w:bookmarkEnd w:id="28"/>
    </w:p>
    <w:p w14:paraId="7240CD51">
      <w:pPr>
        <w:pStyle w:val="22"/>
        <w:rPr>
          <w:color w:val="000000"/>
        </w:rPr>
      </w:pPr>
      <w:r>
        <w:rPr>
          <w:rFonts w:hint="eastAsia"/>
          <w:color w:val="000000"/>
        </w:rPr>
        <w:t>下列文件的内容通过文中的规范性引用而构成本文件必不可少的条款。其中，注日期的引用文件，仅该日期对应的版本适用于本文件；不注日期的引用文件，其最新版本（包括所有的修改单）适用于本文件。</w:t>
      </w:r>
    </w:p>
    <w:p w14:paraId="58E144B3">
      <w:pPr>
        <w:pStyle w:val="22"/>
        <w:rPr>
          <w:color w:val="000000"/>
        </w:rPr>
      </w:pPr>
      <w:r>
        <w:rPr>
          <w:rFonts w:hint="eastAsia"/>
          <w:color w:val="000000"/>
        </w:rPr>
        <w:t>GB/T 191</w:t>
      </w:r>
      <w:r>
        <w:rPr>
          <w:color w:val="000000"/>
        </w:rPr>
        <w:t xml:space="preserve">  </w:t>
      </w:r>
      <w:bookmarkStart w:id="29" w:name="_Hlk51686506"/>
      <w:r>
        <w:rPr>
          <w:rFonts w:hint="eastAsia"/>
          <w:color w:val="000000"/>
        </w:rPr>
        <w:t>包装储运图示标志</w:t>
      </w:r>
      <w:bookmarkEnd w:id="29"/>
    </w:p>
    <w:p w14:paraId="15F486DA">
      <w:pPr>
        <w:pStyle w:val="22"/>
        <w:rPr>
          <w:color w:val="000000"/>
        </w:rPr>
      </w:pPr>
      <w:r>
        <w:rPr>
          <w:rFonts w:hint="eastAsia"/>
          <w:color w:val="000000"/>
        </w:rPr>
        <w:t>GB 3095</w:t>
      </w:r>
      <w:r>
        <w:rPr>
          <w:color w:val="000000"/>
        </w:rPr>
        <w:t xml:space="preserve">  </w:t>
      </w:r>
      <w:r>
        <w:rPr>
          <w:rFonts w:hint="eastAsia"/>
          <w:color w:val="000000"/>
        </w:rPr>
        <w:t>环境空气质量标准</w:t>
      </w:r>
    </w:p>
    <w:p w14:paraId="4632960A">
      <w:pPr>
        <w:pStyle w:val="22"/>
        <w:rPr>
          <w:color w:val="000000"/>
        </w:rPr>
      </w:pPr>
      <w:r>
        <w:rPr>
          <w:rFonts w:hint="eastAsia"/>
          <w:color w:val="000000"/>
        </w:rPr>
        <w:t>GB 5084</w:t>
      </w:r>
      <w:r>
        <w:rPr>
          <w:color w:val="000000"/>
        </w:rPr>
        <w:t xml:space="preserve">  </w:t>
      </w:r>
      <w:r>
        <w:rPr>
          <w:rFonts w:hint="eastAsia"/>
          <w:color w:val="000000"/>
        </w:rPr>
        <w:t>农田灌溉水质标准</w:t>
      </w:r>
    </w:p>
    <w:p w14:paraId="09FB02E9">
      <w:pPr>
        <w:pStyle w:val="22"/>
        <w:rPr>
          <w:rFonts w:hint="eastAsia"/>
          <w:color w:val="000000"/>
        </w:rPr>
      </w:pPr>
      <w:r>
        <w:rPr>
          <w:color w:val="000000"/>
        </w:rPr>
        <w:t xml:space="preserve">GB 15618  </w:t>
      </w:r>
      <w:r>
        <w:rPr>
          <w:rFonts w:hint="eastAsia"/>
          <w:color w:val="000000"/>
        </w:rPr>
        <w:t>土壤环境质量 农用地土壤污染风险管控标准（试行）</w:t>
      </w:r>
    </w:p>
    <w:p w14:paraId="25CCC3AC">
      <w:pPr>
        <w:pStyle w:val="22"/>
        <w:rPr>
          <w:rFonts w:hint="eastAsia"/>
          <w:color w:val="000000"/>
          <w:lang w:eastAsia="zh-CN"/>
        </w:rPr>
      </w:pPr>
      <w:r>
        <w:rPr>
          <w:color w:val="000000"/>
        </w:rPr>
        <w:t>GB</w:t>
      </w:r>
      <w:r>
        <w:rPr>
          <w:rFonts w:hint="eastAsia"/>
          <w:color w:val="000000"/>
          <w:lang w:val="en-US" w:eastAsia="zh-CN"/>
        </w:rPr>
        <w:t>/T</w:t>
      </w:r>
      <w:r>
        <w:rPr>
          <w:color w:val="000000"/>
        </w:rPr>
        <w:t xml:space="preserve"> </w:t>
      </w:r>
      <w:r>
        <w:rPr>
          <w:rFonts w:hint="eastAsia"/>
          <w:color w:val="000000"/>
          <w:lang w:val="en-US" w:eastAsia="zh-CN"/>
        </w:rPr>
        <w:t>17924</w:t>
      </w:r>
      <w:r>
        <w:rPr>
          <w:color w:val="000000"/>
        </w:rPr>
        <w:t xml:space="preserve">  </w:t>
      </w:r>
      <w:r>
        <w:rPr>
          <w:rFonts w:hint="eastAsia"/>
          <w:color w:val="000000"/>
          <w:lang w:eastAsia="zh-CN"/>
        </w:rPr>
        <w:t>地理标志产品标准通用要求</w:t>
      </w:r>
    </w:p>
    <w:p w14:paraId="64B5B05A">
      <w:pPr>
        <w:pStyle w:val="22"/>
        <w:rPr>
          <w:rFonts w:hint="eastAsia"/>
          <w:color w:val="000000"/>
          <w:lang w:eastAsia="zh-CN"/>
        </w:rPr>
      </w:pPr>
      <w:r>
        <w:rPr>
          <w:color w:val="000000"/>
        </w:rPr>
        <w:t xml:space="preserve">SB/T 11182  </w:t>
      </w:r>
      <w:r>
        <w:rPr>
          <w:rFonts w:hint="eastAsia"/>
          <w:color w:val="000000"/>
        </w:rPr>
        <w:t>中药材包装技术规范</w:t>
      </w:r>
    </w:p>
    <w:p w14:paraId="23FB75C8">
      <w:pPr>
        <w:pStyle w:val="22"/>
        <w:rPr>
          <w:color w:val="000000"/>
        </w:rPr>
      </w:pPr>
      <w:r>
        <w:rPr>
          <w:rFonts w:hint="eastAsia"/>
          <w:color w:val="000000"/>
        </w:rPr>
        <w:t>中华人民共和国药典（20</w:t>
      </w:r>
      <w:r>
        <w:rPr>
          <w:color w:val="000000"/>
        </w:rPr>
        <w:t>20</w:t>
      </w:r>
      <w:r>
        <w:rPr>
          <w:rFonts w:hint="eastAsia"/>
          <w:color w:val="000000"/>
        </w:rPr>
        <w:t>年版一部）</w:t>
      </w:r>
    </w:p>
    <w:p w14:paraId="4D7FBF36">
      <w:pPr>
        <w:pStyle w:val="22"/>
        <w:rPr>
          <w:rFonts w:hint="eastAsia"/>
          <w:color w:val="000000"/>
        </w:rPr>
      </w:pPr>
      <w:r>
        <w:rPr>
          <w:rFonts w:hint="eastAsia"/>
          <w:color w:val="000000"/>
        </w:rPr>
        <w:t>中华人民共和国药典（20</w:t>
      </w:r>
      <w:r>
        <w:rPr>
          <w:color w:val="000000"/>
        </w:rPr>
        <w:t>20</w:t>
      </w:r>
      <w:r>
        <w:rPr>
          <w:rFonts w:hint="eastAsia"/>
          <w:color w:val="000000"/>
        </w:rPr>
        <w:t>年版四部）</w:t>
      </w:r>
    </w:p>
    <w:p w14:paraId="6F66DEFB">
      <w:pPr>
        <w:pStyle w:val="57"/>
        <w:numPr>
          <w:ilvl w:val="0"/>
          <w:numId w:val="0"/>
        </w:numPr>
        <w:ind w:left="0" w:leftChars="0" w:firstLine="0" w:firstLineChars="0"/>
        <w:rPr>
          <w:rFonts w:hint="eastAsia"/>
          <w:color w:val="000000"/>
        </w:rPr>
      </w:pPr>
      <w:bookmarkStart w:id="30" w:name="_Toc16756620"/>
      <w:bookmarkStart w:id="31" w:name="_Toc66282448"/>
      <w:r>
        <w:rPr>
          <w:rFonts w:hint="eastAsia" w:ascii="黑体" w:hAnsi="Times New Roman" w:eastAsia="黑体"/>
          <w:b w:val="0"/>
          <w:i w:val="0"/>
          <w:color w:val="000000"/>
          <w:sz w:val="21"/>
          <w:szCs w:val="21"/>
          <w:lang w:val="en-US" w:eastAsia="zh-CN" w:bidi="ar-SA"/>
        </w:rPr>
        <w:t>3　</w:t>
      </w:r>
      <w:r>
        <w:rPr>
          <w:rFonts w:hint="eastAsia"/>
          <w:color w:val="000000"/>
        </w:rPr>
        <w:t>术语和定义</w:t>
      </w:r>
      <w:bookmarkEnd w:id="30"/>
      <w:bookmarkEnd w:id="31"/>
    </w:p>
    <w:p w14:paraId="4112A1E2">
      <w:pPr>
        <w:pStyle w:val="22"/>
        <w:rPr>
          <w:rFonts w:hint="eastAsia"/>
          <w:color w:val="000000"/>
        </w:rPr>
      </w:pPr>
      <w:r>
        <w:rPr>
          <w:rFonts w:hint="eastAsia"/>
          <w:color w:val="000000"/>
        </w:rPr>
        <w:t>下列术语和定义适用于本文件。</w:t>
      </w:r>
    </w:p>
    <w:p w14:paraId="490B6680">
      <w:pPr>
        <w:pStyle w:val="54"/>
        <w:numPr>
          <w:ilvl w:val="0"/>
          <w:numId w:val="0"/>
        </w:numPr>
        <w:ind w:left="0" w:leftChars="0" w:firstLine="0" w:firstLineChars="0"/>
        <w:rPr>
          <w:color w:val="000000"/>
        </w:rPr>
      </w:pPr>
      <w:bookmarkStart w:id="32" w:name="_Toc16756621"/>
      <w:bookmarkEnd w:id="32"/>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3.1　</w:t>
      </w:r>
    </w:p>
    <w:p w14:paraId="104CE666">
      <w:pPr>
        <w:pStyle w:val="54"/>
        <w:numPr>
          <w:ilvl w:val="0"/>
          <w:numId w:val="0"/>
        </w:numPr>
        <w:ind w:firstLine="420" w:firstLineChars="200"/>
        <w:rPr>
          <w:color w:val="000000"/>
        </w:rPr>
      </w:pPr>
      <w:r>
        <w:rPr>
          <w:rFonts w:hint="eastAsia"/>
          <w:color w:val="000000"/>
        </w:rPr>
        <w:t xml:space="preserve">栀子 </w:t>
      </w:r>
      <w:r>
        <w:rPr>
          <w:color w:val="000000"/>
        </w:rPr>
        <w:t xml:space="preserve"> g</w:t>
      </w:r>
      <w:r>
        <w:rPr>
          <w:rFonts w:hint="eastAsia"/>
          <w:color w:val="000000"/>
        </w:rPr>
        <w:t xml:space="preserve">ardenia </w:t>
      </w:r>
      <w:r>
        <w:rPr>
          <w:color w:val="000000"/>
        </w:rPr>
        <w:t xml:space="preserve">fructus </w:t>
      </w:r>
    </w:p>
    <w:p w14:paraId="55503342">
      <w:pPr>
        <w:pStyle w:val="22"/>
        <w:rPr>
          <w:color w:val="000000"/>
        </w:rPr>
      </w:pPr>
      <w:r>
        <w:rPr>
          <w:rFonts w:hint="eastAsia"/>
          <w:color w:val="000000"/>
        </w:rPr>
        <w:t>茜草科植物栀子</w:t>
      </w:r>
      <w:r>
        <w:rPr>
          <w:rFonts w:ascii="Times New Roman"/>
          <w:i/>
          <w:iCs/>
          <w:color w:val="000000"/>
        </w:rPr>
        <w:t xml:space="preserve">Gardenia jasminoides </w:t>
      </w:r>
      <w:r>
        <w:rPr>
          <w:rFonts w:ascii="Times New Roman"/>
          <w:color w:val="000000"/>
        </w:rPr>
        <w:t>Ellis</w:t>
      </w:r>
      <w:r>
        <w:rPr>
          <w:rFonts w:hint="eastAsia"/>
          <w:color w:val="000000"/>
        </w:rPr>
        <w:t>的干燥成熟果实，别名黄栀子、山栀子。</w:t>
      </w:r>
    </w:p>
    <w:p w14:paraId="2EF15341">
      <w:pPr>
        <w:pStyle w:val="54"/>
        <w:numPr>
          <w:ilvl w:val="0"/>
          <w:numId w:val="0"/>
        </w:numPr>
        <w:ind w:left="0" w:leftChars="0" w:firstLine="0" w:firstLineChars="0"/>
        <w:rPr>
          <w:rFonts w:hint="eastAsia"/>
          <w:color w:val="000000"/>
        </w:rPr>
      </w:pPr>
      <w:bookmarkStart w:id="33" w:name="_Toc16756623"/>
      <w:bookmarkEnd w:id="33"/>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3.2　</w:t>
      </w:r>
    </w:p>
    <w:p w14:paraId="70330ECD">
      <w:pPr>
        <w:pStyle w:val="54"/>
        <w:numPr>
          <w:ilvl w:val="0"/>
          <w:numId w:val="0"/>
        </w:numPr>
        <w:ind w:firstLine="420" w:firstLineChars="200"/>
        <w:rPr>
          <w:rFonts w:hint="eastAsia"/>
          <w:color w:val="000000"/>
        </w:rPr>
      </w:pPr>
      <w:bookmarkStart w:id="34" w:name="_Toc16756624"/>
      <w:r>
        <w:rPr>
          <w:rFonts w:hint="eastAsia"/>
          <w:color w:val="000000"/>
        </w:rPr>
        <w:t xml:space="preserve">樟树黄栀子  </w:t>
      </w:r>
      <w:r>
        <w:rPr>
          <w:color w:val="000000"/>
        </w:rPr>
        <w:t>Zhangshu gardenia fructus</w:t>
      </w:r>
      <w:bookmarkEnd w:id="34"/>
    </w:p>
    <w:p w14:paraId="4EE811D6">
      <w:pPr>
        <w:pStyle w:val="22"/>
        <w:rPr>
          <w:rFonts w:hint="eastAsia"/>
          <w:color w:val="000000"/>
        </w:rPr>
      </w:pPr>
      <w:r>
        <w:rPr>
          <w:rFonts w:hint="eastAsia"/>
          <w:color w:val="000000"/>
        </w:rPr>
        <w:t>应是在附录A范围内生产的</w:t>
      </w:r>
      <w:r>
        <w:rPr>
          <w:rFonts w:hint="eastAsia"/>
          <w:color w:val="000000"/>
          <w:lang w:eastAsia="zh-CN"/>
        </w:rPr>
        <w:t>、符合本文件要求的</w:t>
      </w:r>
      <w:r>
        <w:rPr>
          <w:rFonts w:hint="eastAsia"/>
          <w:color w:val="000000"/>
        </w:rPr>
        <w:t>黄栀子。</w:t>
      </w:r>
    </w:p>
    <w:p w14:paraId="68D9B6F3">
      <w:pPr>
        <w:pStyle w:val="57"/>
        <w:numPr>
          <w:ilvl w:val="0"/>
          <w:numId w:val="0"/>
        </w:numPr>
        <w:ind w:left="0" w:leftChars="0" w:firstLine="0" w:firstLineChars="0"/>
        <w:rPr>
          <w:color w:val="000000"/>
        </w:rPr>
      </w:pPr>
      <w:bookmarkStart w:id="35" w:name="_Toc66282449"/>
      <w:r>
        <w:rPr>
          <w:rFonts w:hint="eastAsia" w:ascii="黑体" w:hAnsi="Times New Roman" w:eastAsia="黑体"/>
          <w:b w:val="0"/>
          <w:i w:val="0"/>
          <w:color w:val="000000"/>
          <w:sz w:val="21"/>
          <w:szCs w:val="21"/>
          <w:lang w:val="en-US" w:eastAsia="zh-CN" w:bidi="ar-SA"/>
        </w:rPr>
        <w:t>4　</w:t>
      </w:r>
      <w:r>
        <w:rPr>
          <w:rFonts w:hint="eastAsia"/>
          <w:color w:val="000000"/>
        </w:rPr>
        <w:t>地理标志产品保护范围</w:t>
      </w:r>
      <w:bookmarkEnd w:id="35"/>
    </w:p>
    <w:p w14:paraId="0DFD6F08">
      <w:pPr>
        <w:pStyle w:val="22"/>
        <w:bidi w:val="0"/>
        <w:rPr>
          <w:rFonts w:hint="eastAsia" w:ascii="宋体" w:hAnsi="Times New Roman" w:eastAsia="宋体" w:cs="Times New Roman"/>
          <w:color w:val="000000"/>
          <w:kern w:val="0"/>
          <w:sz w:val="21"/>
          <w:szCs w:val="20"/>
          <w:lang w:val="en-US" w:eastAsia="zh-CN" w:bidi="ar-SA"/>
        </w:rPr>
      </w:pPr>
      <w:bookmarkStart w:id="36" w:name="_Toc66282450"/>
      <w:bookmarkStart w:id="37" w:name="_Hlk38396986"/>
      <w:r>
        <w:rPr>
          <w:rFonts w:hint="eastAsia" w:ascii="宋体" w:hAnsi="Times New Roman" w:eastAsia="宋体" w:cs="Times New Roman"/>
          <w:color w:val="000000"/>
          <w:kern w:val="0"/>
          <w:sz w:val="21"/>
          <w:szCs w:val="20"/>
          <w:lang w:val="en-US" w:eastAsia="zh-CN" w:bidi="ar-SA"/>
        </w:rPr>
        <w:t>地理标志产品樟树黄栀子的产地范围限定于国家知识产权行政主管部门根据《地理标志产品保护规定》发布的批准公告中的产地范围，即江西省樟树市现辖行政区域，见附录A。</w:t>
      </w:r>
    </w:p>
    <w:p w14:paraId="2A46D1A7">
      <w:pPr>
        <w:pStyle w:val="57"/>
        <w:numPr>
          <w:ilvl w:val="0"/>
          <w:numId w:val="0"/>
        </w:numPr>
        <w:ind w:left="0" w:leftChars="0" w:firstLine="0" w:firstLineChars="0"/>
        <w:rPr>
          <w:rFonts w:hint="eastAsia" w:ascii="宋体" w:hAnsi="Times New Roman" w:eastAsia="宋体" w:cs="Times New Roman"/>
          <w:color w:val="000000"/>
          <w:kern w:val="0"/>
          <w:sz w:val="21"/>
          <w:szCs w:val="20"/>
          <w:lang w:val="en-US" w:eastAsia="zh-CN" w:bidi="ar-SA"/>
        </w:rPr>
      </w:pPr>
      <w:r>
        <w:rPr>
          <w:rFonts w:hint="eastAsia" w:ascii="宋体" w:hAnsi="Times New Roman" w:eastAsia="宋体" w:cs="Times New Roman"/>
          <w:color w:val="000000"/>
          <w:kern w:val="0"/>
          <w:sz w:val="21"/>
          <w:szCs w:val="20"/>
          <w:lang w:val="en-US" w:eastAsia="zh-CN" w:bidi="ar-SA"/>
        </w:rPr>
        <w:t>5　要求</w:t>
      </w:r>
      <w:bookmarkEnd w:id="36"/>
    </w:p>
    <w:p w14:paraId="01138B37">
      <w:pPr>
        <w:pStyle w:val="54"/>
        <w:numPr>
          <w:ilvl w:val="0"/>
          <w:numId w:val="0"/>
        </w:numPr>
        <w:ind w:left="0" w:leftChars="0" w:firstLine="0" w:firstLineChars="0"/>
        <w:rPr>
          <w:rFonts w:hint="eastAsia"/>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5.1　</w:t>
      </w:r>
      <w:r>
        <w:rPr>
          <w:rFonts w:hint="eastAsia"/>
          <w:color w:val="000000"/>
        </w:rPr>
        <w:t>产地环境</w:t>
      </w:r>
    </w:p>
    <w:p w14:paraId="4EFE4026">
      <w:pPr>
        <w:pStyle w:val="53"/>
        <w:numPr>
          <w:ilvl w:val="0"/>
          <w:numId w:val="0"/>
        </w:numPr>
        <w:spacing w:before="156" w:after="156"/>
        <w:ind w:left="0" w:leftChars="0" w:firstLine="0" w:firstLineChars="0"/>
        <w:rPr>
          <w:rFonts w:hint="eastAsia" w:eastAsia="黑体"/>
          <w:color w:val="000000"/>
          <w:lang w:eastAsia="zh-CN"/>
        </w:rPr>
      </w:pPr>
      <w:r>
        <w:rPr>
          <w:rFonts w:hint="eastAsia" w:ascii="黑体" w:hAnsi="Times New Roman" w:eastAsia="黑体"/>
          <w:b w:val="0"/>
          <w:i w:val="0"/>
          <w:color w:val="000000"/>
          <w:sz w:val="21"/>
          <w:szCs w:val="21"/>
          <w:lang w:val="en-US" w:eastAsia="zh-CN" w:bidi="ar-SA"/>
        </w:rPr>
        <w:t>5.1.1　</w:t>
      </w:r>
      <w:r>
        <w:rPr>
          <w:rFonts w:hint="eastAsia"/>
          <w:color w:val="000000"/>
        </w:rPr>
        <w:t>选址</w:t>
      </w:r>
      <w:r>
        <w:rPr>
          <w:rFonts w:hint="eastAsia"/>
          <w:color w:val="000000"/>
          <w:lang w:eastAsia="zh-CN"/>
        </w:rPr>
        <w:t>要求</w:t>
      </w:r>
    </w:p>
    <w:p w14:paraId="58817EE0">
      <w:pPr>
        <w:widowControl/>
        <w:tabs>
          <w:tab w:val="center" w:pos="4201"/>
          <w:tab w:val="right" w:leader="dot" w:pos="9298"/>
        </w:tabs>
        <w:autoSpaceDE w:val="0"/>
        <w:autoSpaceDN w:val="0"/>
        <w:ind w:firstLine="420" w:firstLineChars="200"/>
        <w:rPr>
          <w:rFonts w:hint="eastAsia" w:ascii="宋体" w:hAnsi="Times New Roman" w:eastAsia="宋体" w:cs="Times New Roman"/>
          <w:color w:val="000000"/>
          <w:kern w:val="0"/>
          <w:sz w:val="21"/>
          <w:szCs w:val="20"/>
          <w:lang w:val="en-US" w:eastAsia="zh-CN" w:bidi="ar-SA"/>
        </w:rPr>
      </w:pPr>
      <w:r>
        <w:rPr>
          <w:rFonts w:hint="eastAsia" w:ascii="宋体"/>
          <w:color w:val="000000"/>
          <w:kern w:val="0"/>
          <w:szCs w:val="20"/>
          <w:lang w:eastAsia="zh-CN"/>
        </w:rPr>
        <w:t>在附录</w:t>
      </w:r>
      <w:r>
        <w:rPr>
          <w:rFonts w:hint="eastAsia" w:ascii="宋体"/>
          <w:color w:val="000000"/>
          <w:kern w:val="0"/>
          <w:szCs w:val="20"/>
          <w:lang w:val="en-US" w:eastAsia="zh-CN"/>
        </w:rPr>
        <w:t>A樟树黄栀子地理标志产品保护范围，年平均气温大约17.7℃，年平均日照大约171</w:t>
      </w:r>
      <w:r>
        <w:rPr>
          <w:rFonts w:hint="eastAsia" w:ascii="宋体" w:hAnsi="Times New Roman" w:eastAsia="宋体" w:cs="Times New Roman"/>
          <w:color w:val="000000"/>
          <w:kern w:val="0"/>
          <w:sz w:val="21"/>
          <w:szCs w:val="20"/>
          <w:lang w:val="en-US" w:eastAsia="zh-CN" w:bidi="ar-SA"/>
        </w:rPr>
        <w:t xml:space="preserve">0h，年平均降水量大约1718mm.选择阳光充足的低丘岗地，宜土质疏松，排水良好，土层厚度不少于30cm，pH值4.5～6.0的红壤。  </w:t>
      </w:r>
    </w:p>
    <w:p w14:paraId="7C8697B6">
      <w:pPr>
        <w:pStyle w:val="53"/>
        <w:numPr>
          <w:ilvl w:val="0"/>
          <w:numId w:val="0"/>
        </w:numPr>
        <w:spacing w:before="156" w:after="156"/>
        <w:ind w:left="0" w:leftChars="0" w:firstLine="0" w:firstLineChars="0"/>
        <w:rPr>
          <w:rFonts w:hint="eastAsia" w:eastAsia="黑体"/>
          <w:color w:val="000000"/>
          <w:lang w:eastAsia="zh-CN"/>
        </w:rPr>
      </w:pPr>
      <w:r>
        <w:rPr>
          <w:rFonts w:hint="eastAsia" w:ascii="黑体" w:hAnsi="Times New Roman" w:eastAsia="黑体"/>
          <w:b w:val="0"/>
          <w:i w:val="0"/>
          <w:color w:val="000000"/>
          <w:sz w:val="21"/>
          <w:szCs w:val="21"/>
          <w:lang w:val="en-US" w:eastAsia="zh-CN" w:bidi="ar-SA"/>
        </w:rPr>
        <w:t>5.1.2　</w:t>
      </w:r>
      <w:r>
        <w:rPr>
          <w:rFonts w:hint="eastAsia"/>
          <w:color w:val="000000"/>
        </w:rPr>
        <w:t>环境质量</w:t>
      </w:r>
      <w:r>
        <w:rPr>
          <w:rFonts w:hint="eastAsia"/>
          <w:color w:val="000000"/>
          <w:lang w:eastAsia="zh-CN"/>
        </w:rPr>
        <w:t>要求</w:t>
      </w:r>
    </w:p>
    <w:p w14:paraId="54FDA0F6">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应选择在生态环境良好，无污染源或不受污染源影响或污染物浓度控制在允许范围内的农业生产区域，空气符合GB 3095二类区要求，土壤符合GB 15618的</w:t>
      </w:r>
      <w:r>
        <w:rPr>
          <w:rFonts w:hint="eastAsia" w:ascii="宋体"/>
          <w:color w:val="000000"/>
          <w:kern w:val="0"/>
          <w:szCs w:val="20"/>
          <w:lang w:eastAsia="zh-CN"/>
        </w:rPr>
        <w:t>要求</w:t>
      </w:r>
      <w:r>
        <w:rPr>
          <w:rFonts w:hint="eastAsia" w:ascii="宋体"/>
          <w:color w:val="000000"/>
          <w:kern w:val="0"/>
          <w:szCs w:val="20"/>
        </w:rPr>
        <w:t>，灌溉水符合GB 5084的要求。</w:t>
      </w:r>
    </w:p>
    <w:p w14:paraId="0CDDF3CC">
      <w:pPr>
        <w:pStyle w:val="54"/>
        <w:numPr>
          <w:ilvl w:val="0"/>
          <w:numId w:val="0"/>
        </w:numPr>
        <w:ind w:left="0" w:leftChars="0" w:firstLine="0" w:firstLineChars="0"/>
        <w:rPr>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bidi="ar-SA"/>
        </w:rPr>
        <w:t>5.2　</w:t>
      </w:r>
      <w:r>
        <w:rPr>
          <w:rFonts w:hint="eastAsia"/>
          <w:color w:val="000000"/>
        </w:rPr>
        <w:t>栽培技术</w:t>
      </w:r>
    </w:p>
    <w:p w14:paraId="7AF216DD">
      <w:pPr>
        <w:pStyle w:val="22"/>
        <w:rPr>
          <w:rFonts w:hint="eastAsia"/>
          <w:color w:val="000000"/>
        </w:rPr>
      </w:pPr>
      <w:r>
        <w:rPr>
          <w:rFonts w:hint="eastAsia"/>
          <w:color w:val="000000"/>
        </w:rPr>
        <w:t>见附录B。</w:t>
      </w:r>
    </w:p>
    <w:p w14:paraId="54876B97">
      <w:pPr>
        <w:pStyle w:val="54"/>
        <w:numPr>
          <w:ilvl w:val="0"/>
          <w:numId w:val="0"/>
        </w:numPr>
        <w:ind w:left="0" w:leftChars="0" w:firstLine="0" w:firstLineChars="0"/>
        <w:rPr>
          <w:rFonts w:hint="eastAsia"/>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5.3　</w:t>
      </w:r>
      <w:r>
        <w:rPr>
          <w:rFonts w:hint="eastAsia"/>
          <w:color w:val="000000"/>
        </w:rPr>
        <w:t>采收</w:t>
      </w:r>
    </w:p>
    <w:p w14:paraId="5C4BA42C">
      <w:pPr>
        <w:pStyle w:val="54"/>
        <w:numPr>
          <w:ilvl w:val="0"/>
          <w:numId w:val="0"/>
        </w:numPr>
        <w:ind w:left="0" w:leftChars="0" w:firstLine="420" w:firstLineChars="200"/>
        <w:rPr>
          <w:rFonts w:hint="eastAsia" w:ascii="宋体" w:hAnsi="Times New Roman" w:eastAsia="宋体" w:cs="Times New Roman"/>
          <w:color w:val="000000"/>
          <w:kern w:val="0"/>
          <w:sz w:val="21"/>
          <w:szCs w:val="20"/>
          <w:lang w:bidi="ar-SA"/>
        </w:rPr>
      </w:pPr>
      <w:r>
        <w:rPr>
          <w:rFonts w:hint="eastAsia" w:ascii="宋体" w:hAnsi="Times New Roman" w:eastAsia="宋体" w:cs="Times New Roman"/>
          <w:color w:val="000000"/>
          <w:kern w:val="0"/>
          <w:sz w:val="21"/>
          <w:szCs w:val="20"/>
          <w:lang w:val="en-US" w:eastAsia="zh-CN" w:bidi="ar-SA"/>
        </w:rPr>
        <w:t>10月中旬～11月下旬，果皮颜色由青转橙黄或橙红色时，选晴天露水干后采摘，采收后分批进行加工。加工</w:t>
      </w:r>
      <w:r>
        <w:rPr>
          <w:rFonts w:hint="eastAsia" w:ascii="宋体" w:hAnsi="Times New Roman" w:eastAsia="宋体" w:cs="Times New Roman"/>
          <w:color w:val="000000"/>
          <w:kern w:val="0"/>
          <w:sz w:val="21"/>
          <w:szCs w:val="20"/>
          <w:lang w:bidi="ar-SA"/>
        </w:rPr>
        <w:t>方法是：</w:t>
      </w:r>
      <w:r>
        <w:rPr>
          <w:rFonts w:hint="eastAsia" w:ascii="宋体" w:hAnsi="Times New Roman" w:eastAsia="宋体" w:cs="Times New Roman"/>
          <w:color w:val="000000"/>
          <w:kern w:val="0"/>
          <w:sz w:val="21"/>
          <w:szCs w:val="20"/>
          <w:lang w:val="en-US" w:eastAsia="zh-CN" w:bidi="ar-SA"/>
        </w:rPr>
        <w:t>将鲜果置容器中蒸2 min～3 min，然后晒干或烘干</w:t>
      </w:r>
      <w:r>
        <w:rPr>
          <w:rFonts w:hint="eastAsia" w:ascii="宋体" w:hAnsi="Times New Roman" w:eastAsia="宋体" w:cs="Times New Roman"/>
          <w:color w:val="000000"/>
          <w:kern w:val="0"/>
          <w:sz w:val="21"/>
          <w:szCs w:val="20"/>
          <w:lang w:bidi="ar-SA"/>
        </w:rPr>
        <w:t>。</w:t>
      </w:r>
    </w:p>
    <w:p w14:paraId="340136C3">
      <w:pPr>
        <w:pStyle w:val="54"/>
        <w:numPr>
          <w:ilvl w:val="0"/>
          <w:numId w:val="0"/>
        </w:numPr>
        <w:ind w:left="0" w:leftChars="0" w:firstLine="0" w:firstLineChars="0"/>
        <w:rPr>
          <w:rFonts w:hint="eastAsia"/>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5.</w:t>
      </w:r>
      <w:r>
        <w:rPr>
          <w:rFonts w:hint="eastAsia" w:hAnsi="Times New Roman"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4</w:t>
      </w: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　</w:t>
      </w:r>
      <w:r>
        <w:rPr>
          <w:rFonts w:hint="eastAsia"/>
          <w:color w:val="000000"/>
        </w:rPr>
        <w:t xml:space="preserve"> 质量安全要求</w:t>
      </w:r>
    </w:p>
    <w:p w14:paraId="3CDFF85B">
      <w:pPr>
        <w:pStyle w:val="53"/>
        <w:numPr>
          <w:ilvl w:val="0"/>
          <w:numId w:val="0"/>
        </w:numPr>
        <w:spacing w:before="156" w:after="156"/>
        <w:ind w:left="0" w:leftChars="0" w:firstLine="0" w:firstLineChars="0"/>
        <w:rPr>
          <w:rFonts w:hint="eastAsia"/>
          <w:color w:val="000000"/>
        </w:rPr>
      </w:pPr>
      <w:r>
        <w:rPr>
          <w:rFonts w:hint="eastAsia" w:ascii="黑体" w:hAnsi="Times New Roman" w:eastAsia="黑体"/>
          <w:b w:val="0"/>
          <w:i w:val="0"/>
          <w:color w:val="000000"/>
          <w:sz w:val="21"/>
          <w:szCs w:val="21"/>
          <w:lang w:val="en-US" w:eastAsia="zh-CN" w:bidi="ar-SA"/>
        </w:rPr>
        <w:t>5.</w:t>
      </w:r>
      <w:r>
        <w:rPr>
          <w:rFonts w:hint="eastAsia" w:hAnsi="Times New Roman"/>
          <w:b w:val="0"/>
          <w:i w:val="0"/>
          <w:color w:val="000000"/>
          <w:sz w:val="21"/>
          <w:szCs w:val="21"/>
          <w:lang w:val="en-US" w:eastAsia="zh-CN" w:bidi="ar-SA"/>
        </w:rPr>
        <w:t>4</w:t>
      </w:r>
      <w:r>
        <w:rPr>
          <w:rFonts w:hint="eastAsia" w:ascii="黑体" w:hAnsi="Times New Roman" w:eastAsia="黑体"/>
          <w:b w:val="0"/>
          <w:i w:val="0"/>
          <w:color w:val="000000"/>
          <w:sz w:val="21"/>
          <w:szCs w:val="21"/>
          <w:lang w:val="en-US" w:eastAsia="zh-CN" w:bidi="ar-SA"/>
        </w:rPr>
        <w:t>.1　</w:t>
      </w:r>
      <w:r>
        <w:rPr>
          <w:rFonts w:hint="eastAsia"/>
          <w:color w:val="000000"/>
          <w:lang w:eastAsia="zh-CN"/>
        </w:rPr>
        <w:t>性状</w:t>
      </w:r>
      <w:r>
        <w:rPr>
          <w:rFonts w:hint="eastAsia"/>
          <w:color w:val="000000"/>
        </w:rPr>
        <w:t>指标</w:t>
      </w:r>
    </w:p>
    <w:p w14:paraId="21A4AE19">
      <w:pPr>
        <w:pStyle w:val="53"/>
        <w:numPr>
          <w:ilvl w:val="0"/>
          <w:numId w:val="0"/>
        </w:numPr>
        <w:spacing w:before="156" w:after="156"/>
        <w:ind w:left="0" w:leftChars="0" w:firstLine="420" w:firstLineChars="200"/>
        <w:rPr>
          <w:rFonts w:hint="default" w:ascii="宋体" w:hAnsi="Times New Roman" w:eastAsia="宋体" w:cs="Times New Roman"/>
          <w:color w:val="000000"/>
          <w:kern w:val="0"/>
          <w:sz w:val="21"/>
          <w:szCs w:val="20"/>
          <w:lang w:val="en-US" w:eastAsia="zh-CN" w:bidi="ar-SA"/>
        </w:rPr>
      </w:pPr>
      <w:r>
        <w:rPr>
          <w:rFonts w:hint="eastAsia" w:ascii="宋体" w:hAnsi="Times New Roman" w:eastAsia="宋体" w:cs="Times New Roman"/>
          <w:color w:val="000000"/>
          <w:kern w:val="0"/>
          <w:sz w:val="21"/>
          <w:szCs w:val="20"/>
          <w:lang w:val="en-US" w:eastAsia="zh-CN" w:bidi="ar-SA"/>
        </w:rPr>
        <w:t>本品外观呈椭圆形或卵圆形，长1.5cm～3.0cm，直径1.0cm～1.5cm；表面呈橙红色或橙黄色；种子多数扁卵圆形，集结成团，深红色或红黄色。气微，味微酸而苦。</w:t>
      </w:r>
    </w:p>
    <w:p w14:paraId="06664451">
      <w:pPr>
        <w:pStyle w:val="53"/>
        <w:numPr>
          <w:ilvl w:val="0"/>
          <w:numId w:val="0"/>
        </w:numPr>
        <w:spacing w:before="156" w:after="156"/>
        <w:ind w:left="0" w:leftChars="0" w:firstLine="0" w:firstLineChars="0"/>
        <w:rPr>
          <w:rFonts w:hint="eastAsia"/>
          <w:color w:val="000000"/>
        </w:rPr>
      </w:pPr>
      <w:r>
        <w:rPr>
          <w:rFonts w:hint="eastAsia" w:ascii="黑体" w:hAnsi="Times New Roman" w:eastAsia="黑体"/>
          <w:b w:val="0"/>
          <w:i w:val="0"/>
          <w:color w:val="000000"/>
          <w:sz w:val="21"/>
          <w:szCs w:val="21"/>
          <w:lang w:val="en-US" w:eastAsia="zh-CN" w:bidi="ar-SA"/>
        </w:rPr>
        <w:t>5.</w:t>
      </w:r>
      <w:r>
        <w:rPr>
          <w:rFonts w:hint="eastAsia" w:hAnsi="Times New Roman"/>
          <w:b w:val="0"/>
          <w:i w:val="0"/>
          <w:color w:val="000000"/>
          <w:sz w:val="21"/>
          <w:szCs w:val="21"/>
          <w:lang w:val="en-US" w:eastAsia="zh-CN" w:bidi="ar-SA"/>
        </w:rPr>
        <w:t>4</w:t>
      </w:r>
      <w:r>
        <w:rPr>
          <w:rFonts w:hint="eastAsia" w:ascii="黑体" w:hAnsi="Times New Roman" w:eastAsia="黑体"/>
          <w:b w:val="0"/>
          <w:i w:val="0"/>
          <w:color w:val="000000"/>
          <w:sz w:val="21"/>
          <w:szCs w:val="21"/>
          <w:lang w:val="en-US" w:eastAsia="zh-CN" w:bidi="ar-SA"/>
        </w:rPr>
        <w:t>.2　</w:t>
      </w:r>
      <w:r>
        <w:rPr>
          <w:rFonts w:hint="eastAsia"/>
          <w:color w:val="000000"/>
        </w:rPr>
        <w:t>理化指标</w:t>
      </w:r>
    </w:p>
    <w:p w14:paraId="18696846">
      <w:pPr>
        <w:pStyle w:val="107"/>
        <w:rPr>
          <w:rFonts w:hint="eastAsia"/>
          <w:color w:val="000000"/>
        </w:rPr>
      </w:pPr>
      <w:r>
        <w:rPr>
          <w:rFonts w:hint="eastAsia"/>
          <w:color w:val="000000"/>
        </w:rPr>
        <w:t>理化指标</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85"/>
        <w:gridCol w:w="4786"/>
      </w:tblGrid>
      <w:tr w14:paraId="62157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blHeader/>
        </w:trPr>
        <w:tc>
          <w:tcPr>
            <w:tcW w:w="4785" w:type="dxa"/>
            <w:noWrap w:val="0"/>
            <w:vAlign w:val="top"/>
          </w:tcPr>
          <w:p w14:paraId="0FFA1AF1">
            <w:pPr>
              <w:widowControl/>
              <w:tabs>
                <w:tab w:val="center" w:pos="4201"/>
                <w:tab w:val="right" w:leader="dot" w:pos="9298"/>
              </w:tabs>
              <w:autoSpaceDE w:val="0"/>
              <w:autoSpaceDN w:val="0"/>
              <w:jc w:val="center"/>
              <w:rPr>
                <w:rFonts w:hint="eastAsia" w:ascii="宋体"/>
                <w:color w:val="000000"/>
                <w:kern w:val="0"/>
                <w:sz w:val="18"/>
                <w:szCs w:val="20"/>
              </w:rPr>
            </w:pPr>
            <w:r>
              <w:rPr>
                <w:rFonts w:hint="eastAsia" w:ascii="宋体"/>
                <w:color w:val="000000"/>
                <w:kern w:val="0"/>
                <w:sz w:val="18"/>
                <w:szCs w:val="20"/>
              </w:rPr>
              <w:t>项目</w:t>
            </w:r>
          </w:p>
        </w:tc>
        <w:tc>
          <w:tcPr>
            <w:tcW w:w="4786" w:type="dxa"/>
            <w:noWrap w:val="0"/>
            <w:vAlign w:val="top"/>
          </w:tcPr>
          <w:p w14:paraId="70D06E75">
            <w:pPr>
              <w:widowControl/>
              <w:tabs>
                <w:tab w:val="center" w:pos="4201"/>
                <w:tab w:val="right" w:leader="dot" w:pos="9298"/>
              </w:tabs>
              <w:autoSpaceDE w:val="0"/>
              <w:autoSpaceDN w:val="0"/>
              <w:jc w:val="center"/>
              <w:rPr>
                <w:rFonts w:hint="eastAsia" w:ascii="宋体"/>
                <w:color w:val="000000"/>
                <w:kern w:val="0"/>
                <w:sz w:val="18"/>
                <w:szCs w:val="20"/>
              </w:rPr>
            </w:pPr>
            <w:r>
              <w:rPr>
                <w:rFonts w:hint="eastAsia" w:ascii="宋体"/>
                <w:color w:val="000000"/>
                <w:kern w:val="0"/>
                <w:sz w:val="18"/>
                <w:szCs w:val="20"/>
              </w:rPr>
              <w:t>指标</w:t>
            </w:r>
          </w:p>
        </w:tc>
      </w:tr>
      <w:tr w14:paraId="6AFFC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59EF5A5B">
            <w:pPr>
              <w:widowControl/>
              <w:tabs>
                <w:tab w:val="center" w:pos="4201"/>
                <w:tab w:val="right" w:leader="dot" w:pos="9298"/>
              </w:tabs>
              <w:autoSpaceDE w:val="0"/>
              <w:autoSpaceDN w:val="0"/>
              <w:rPr>
                <w:rFonts w:hint="eastAsia" w:ascii="宋体"/>
                <w:color w:val="000000"/>
                <w:kern w:val="0"/>
                <w:sz w:val="18"/>
                <w:szCs w:val="20"/>
              </w:rPr>
            </w:pPr>
            <w:r>
              <w:rPr>
                <w:rFonts w:hint="eastAsia" w:ascii="宋体"/>
                <w:color w:val="000000"/>
                <w:kern w:val="0"/>
                <w:sz w:val="18"/>
                <w:szCs w:val="20"/>
              </w:rPr>
              <w:t>水分，</w:t>
            </w:r>
            <w:r>
              <w:rPr>
                <w:rFonts w:ascii="宋体"/>
                <w:color w:val="000000"/>
                <w:kern w:val="0"/>
                <w:sz w:val="18"/>
                <w:szCs w:val="20"/>
              </w:rPr>
              <w:t xml:space="preserve">%                                          </w:t>
            </w:r>
          </w:p>
        </w:tc>
        <w:tc>
          <w:tcPr>
            <w:tcW w:w="4786" w:type="dxa"/>
            <w:noWrap w:val="0"/>
            <w:vAlign w:val="top"/>
          </w:tcPr>
          <w:p w14:paraId="1A0015AD">
            <w:pPr>
              <w:widowControl/>
              <w:tabs>
                <w:tab w:val="center" w:pos="4201"/>
                <w:tab w:val="right" w:leader="dot" w:pos="9298"/>
              </w:tabs>
              <w:autoSpaceDE w:val="0"/>
              <w:autoSpaceDN w:val="0"/>
              <w:rPr>
                <w:rFonts w:hint="eastAsia" w:ascii="宋体"/>
                <w:color w:val="000000"/>
                <w:kern w:val="0"/>
                <w:sz w:val="18"/>
                <w:szCs w:val="20"/>
              </w:rPr>
            </w:pPr>
            <w:r>
              <w:rPr>
                <w:rFonts w:hint="eastAsia" w:ascii="宋体"/>
                <w:color w:val="000000"/>
                <w:kern w:val="0"/>
                <w:sz w:val="18"/>
                <w:szCs w:val="20"/>
              </w:rPr>
              <w:t>≤</w:t>
            </w:r>
            <w:r>
              <w:rPr>
                <w:rFonts w:ascii="宋体"/>
                <w:color w:val="000000"/>
                <w:kern w:val="0"/>
                <w:sz w:val="18"/>
                <w:szCs w:val="20"/>
              </w:rPr>
              <w:t>8.5</w:t>
            </w:r>
          </w:p>
        </w:tc>
      </w:tr>
      <w:tr w14:paraId="0C2F8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0B931D5A">
            <w:pPr>
              <w:widowControl/>
              <w:tabs>
                <w:tab w:val="center" w:pos="4201"/>
                <w:tab w:val="right" w:leader="dot" w:pos="9298"/>
              </w:tabs>
              <w:autoSpaceDE w:val="0"/>
              <w:autoSpaceDN w:val="0"/>
              <w:rPr>
                <w:rFonts w:hint="eastAsia" w:ascii="宋体"/>
                <w:color w:val="000000"/>
                <w:kern w:val="0"/>
                <w:sz w:val="18"/>
                <w:szCs w:val="20"/>
              </w:rPr>
            </w:pPr>
            <w:r>
              <w:rPr>
                <w:rFonts w:hint="eastAsia" w:ascii="宋体"/>
                <w:color w:val="000000"/>
                <w:kern w:val="0"/>
                <w:sz w:val="18"/>
                <w:szCs w:val="20"/>
              </w:rPr>
              <w:t>总灰分，</w:t>
            </w:r>
            <w:r>
              <w:rPr>
                <w:rFonts w:ascii="宋体"/>
                <w:color w:val="000000"/>
                <w:kern w:val="0"/>
                <w:sz w:val="18"/>
                <w:szCs w:val="20"/>
              </w:rPr>
              <w:t xml:space="preserve">%                                        </w:t>
            </w:r>
          </w:p>
        </w:tc>
        <w:tc>
          <w:tcPr>
            <w:tcW w:w="4786" w:type="dxa"/>
            <w:noWrap w:val="0"/>
            <w:vAlign w:val="top"/>
          </w:tcPr>
          <w:p w14:paraId="67690832">
            <w:pPr>
              <w:widowControl/>
              <w:tabs>
                <w:tab w:val="center" w:pos="4201"/>
                <w:tab w:val="right" w:leader="dot" w:pos="9298"/>
              </w:tabs>
              <w:autoSpaceDE w:val="0"/>
              <w:autoSpaceDN w:val="0"/>
              <w:rPr>
                <w:rFonts w:hint="eastAsia" w:ascii="宋体"/>
                <w:color w:val="000000"/>
                <w:kern w:val="0"/>
                <w:sz w:val="18"/>
                <w:szCs w:val="20"/>
              </w:rPr>
            </w:pPr>
            <w:r>
              <w:rPr>
                <w:rFonts w:hint="eastAsia" w:ascii="宋体"/>
                <w:color w:val="000000"/>
                <w:kern w:val="0"/>
                <w:sz w:val="18"/>
                <w:szCs w:val="20"/>
              </w:rPr>
              <w:t>≤6</w:t>
            </w:r>
            <w:r>
              <w:rPr>
                <w:rFonts w:ascii="宋体"/>
                <w:color w:val="000000"/>
                <w:kern w:val="0"/>
                <w:sz w:val="18"/>
                <w:szCs w:val="20"/>
              </w:rPr>
              <w:t>.0</w:t>
            </w:r>
          </w:p>
        </w:tc>
      </w:tr>
      <w:tr w14:paraId="0B9BAA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85" w:type="dxa"/>
            <w:noWrap w:val="0"/>
            <w:vAlign w:val="top"/>
          </w:tcPr>
          <w:p w14:paraId="6C5F9BB5">
            <w:pPr>
              <w:widowControl/>
              <w:tabs>
                <w:tab w:val="center" w:pos="4201"/>
                <w:tab w:val="right" w:leader="dot" w:pos="9298"/>
              </w:tabs>
              <w:autoSpaceDE w:val="0"/>
              <w:autoSpaceDN w:val="0"/>
              <w:jc w:val="left"/>
              <w:rPr>
                <w:rFonts w:hint="eastAsia" w:ascii="宋体"/>
                <w:color w:val="000000"/>
                <w:kern w:val="0"/>
                <w:sz w:val="18"/>
                <w:szCs w:val="20"/>
              </w:rPr>
            </w:pPr>
            <w:r>
              <w:rPr>
                <w:rFonts w:hint="eastAsia" w:ascii="宋体"/>
                <w:color w:val="000000"/>
                <w:kern w:val="0"/>
                <w:sz w:val="18"/>
                <w:szCs w:val="20"/>
              </w:rPr>
              <w:t>栀子苷（</w:t>
            </w:r>
            <m:oMath>
              <m:sSub>
                <m:sSubPr>
                  <m:ctrlPr>
                    <w:rPr>
                      <w:rFonts w:ascii="Cambria Math" w:hAnsi="Cambria Math"/>
                      <w:i w:val="0"/>
                      <w:iCs/>
                      <w:color w:val="000000"/>
                      <w:kern w:val="0"/>
                      <w:sz w:val="18"/>
                      <w:szCs w:val="20"/>
                    </w:rPr>
                  </m:ctrlPr>
                </m:sSubPr>
                <m:e>
                  <m:r>
                    <m:rPr>
                      <m:sty m:val="p"/>
                    </m:rPr>
                    <w:rPr>
                      <w:rFonts w:hint="default" w:ascii="Cambria Math" w:hAnsi="Cambria Math"/>
                      <w:color w:val="000000"/>
                      <w:kern w:val="0"/>
                      <w:sz w:val="18"/>
                      <w:szCs w:val="20"/>
                      <w:lang w:val="en-US" w:eastAsia="zh-CN"/>
                    </w:rPr>
                    <m:t>C</m:t>
                  </m:r>
                  <m:ctrlPr>
                    <w:rPr>
                      <w:rFonts w:ascii="Cambria Math" w:hAnsi="Cambria Math"/>
                      <w:i w:val="0"/>
                      <w:iCs/>
                      <w:color w:val="000000"/>
                      <w:kern w:val="0"/>
                      <w:sz w:val="18"/>
                      <w:szCs w:val="20"/>
                    </w:rPr>
                  </m:ctrlPr>
                </m:e>
                <m:sub>
                  <m:r>
                    <m:rPr>
                      <m:sty m:val="p"/>
                    </m:rPr>
                    <w:rPr>
                      <w:rFonts w:hint="default" w:ascii="Cambria Math" w:hAnsi="Cambria Math"/>
                      <w:color w:val="000000"/>
                      <w:kern w:val="0"/>
                      <w:sz w:val="18"/>
                      <w:szCs w:val="20"/>
                      <w:lang w:val="en-US" w:eastAsia="zh-CN"/>
                    </w:rPr>
                    <m:t>17</m:t>
                  </m:r>
                  <m:ctrlPr>
                    <w:rPr>
                      <w:rFonts w:ascii="Cambria Math" w:hAnsi="Cambria Math"/>
                      <w:i w:val="0"/>
                      <w:iCs/>
                      <w:color w:val="000000"/>
                      <w:kern w:val="0"/>
                      <w:sz w:val="18"/>
                      <w:szCs w:val="20"/>
                    </w:rPr>
                  </m:ctrlPr>
                </m:sub>
              </m:sSub>
              <m:sSub>
                <m:sSubPr>
                  <m:ctrlPr>
                    <w:rPr>
                      <w:rFonts w:ascii="Cambria Math" w:hAnsi="Cambria Math"/>
                      <w:i w:val="0"/>
                      <w:iCs/>
                      <w:color w:val="000000"/>
                      <w:kern w:val="0"/>
                      <w:sz w:val="18"/>
                      <w:szCs w:val="20"/>
                    </w:rPr>
                  </m:ctrlPr>
                </m:sSubPr>
                <m:e>
                  <m:r>
                    <m:rPr>
                      <m:sty m:val="p"/>
                    </m:rPr>
                    <w:rPr>
                      <w:rFonts w:hint="default" w:ascii="Cambria Math" w:hAnsi="Cambria Math"/>
                      <w:color w:val="000000"/>
                      <w:kern w:val="0"/>
                      <w:sz w:val="18"/>
                      <w:szCs w:val="20"/>
                      <w:lang w:val="en-US" w:eastAsia="zh-CN"/>
                    </w:rPr>
                    <m:t>H</m:t>
                  </m:r>
                  <m:ctrlPr>
                    <w:rPr>
                      <w:rFonts w:ascii="Cambria Math" w:hAnsi="Cambria Math"/>
                      <w:i w:val="0"/>
                      <w:iCs/>
                      <w:color w:val="000000"/>
                      <w:kern w:val="0"/>
                      <w:sz w:val="18"/>
                      <w:szCs w:val="20"/>
                    </w:rPr>
                  </m:ctrlPr>
                </m:e>
                <m:sub>
                  <m:r>
                    <m:rPr>
                      <m:sty m:val="p"/>
                    </m:rPr>
                    <w:rPr>
                      <w:rFonts w:hint="default" w:ascii="Cambria Math" w:hAnsi="Cambria Math"/>
                      <w:color w:val="000000"/>
                      <w:kern w:val="0"/>
                      <w:sz w:val="18"/>
                      <w:szCs w:val="20"/>
                      <w:lang w:val="en-US" w:eastAsia="zh-CN"/>
                    </w:rPr>
                    <m:t>24</m:t>
                  </m:r>
                  <m:ctrlPr>
                    <w:rPr>
                      <w:rFonts w:ascii="Cambria Math" w:hAnsi="Cambria Math"/>
                      <w:i w:val="0"/>
                      <w:iCs/>
                      <w:color w:val="000000"/>
                      <w:kern w:val="0"/>
                      <w:sz w:val="18"/>
                      <w:szCs w:val="20"/>
                    </w:rPr>
                  </m:ctrlPr>
                </m:sub>
              </m:sSub>
              <m:sSub>
                <m:sSubPr>
                  <m:ctrlPr>
                    <w:rPr>
                      <w:rFonts w:ascii="Cambria Math" w:hAnsi="Cambria Math"/>
                      <w:i w:val="0"/>
                      <w:iCs/>
                      <w:color w:val="000000"/>
                      <w:kern w:val="0"/>
                      <w:sz w:val="18"/>
                      <w:szCs w:val="20"/>
                    </w:rPr>
                  </m:ctrlPr>
                </m:sSubPr>
                <m:e>
                  <m:r>
                    <m:rPr>
                      <m:sty m:val="p"/>
                    </m:rPr>
                    <w:rPr>
                      <w:rFonts w:hint="default" w:ascii="Cambria Math" w:hAnsi="Cambria Math"/>
                      <w:color w:val="000000"/>
                      <w:kern w:val="0"/>
                      <w:sz w:val="18"/>
                      <w:szCs w:val="20"/>
                      <w:lang w:val="en-US" w:eastAsia="zh-CN"/>
                    </w:rPr>
                    <m:t>O</m:t>
                  </m:r>
                  <m:ctrlPr>
                    <w:rPr>
                      <w:rFonts w:ascii="Cambria Math" w:hAnsi="Cambria Math"/>
                      <w:i w:val="0"/>
                      <w:iCs/>
                      <w:color w:val="000000"/>
                      <w:kern w:val="0"/>
                      <w:sz w:val="18"/>
                      <w:szCs w:val="20"/>
                    </w:rPr>
                  </m:ctrlPr>
                </m:e>
                <m:sub>
                  <m:r>
                    <m:rPr>
                      <m:sty m:val="p"/>
                    </m:rPr>
                    <w:rPr>
                      <w:rFonts w:hint="default" w:ascii="Cambria Math" w:hAnsi="Cambria Math"/>
                      <w:color w:val="000000"/>
                      <w:kern w:val="0"/>
                      <w:sz w:val="18"/>
                      <w:szCs w:val="20"/>
                      <w:lang w:val="en-US" w:eastAsia="zh-CN"/>
                    </w:rPr>
                    <m:t>10</m:t>
                  </m:r>
                  <m:ctrlPr>
                    <w:rPr>
                      <w:rFonts w:ascii="Cambria Math" w:hAnsi="Cambria Math"/>
                      <w:i w:val="0"/>
                      <w:iCs/>
                      <w:color w:val="000000"/>
                      <w:kern w:val="0"/>
                      <w:sz w:val="18"/>
                      <w:szCs w:val="20"/>
                    </w:rPr>
                  </m:ctrlPr>
                </m:sub>
              </m:sSub>
            </m:oMath>
            <w:r>
              <w:rPr>
                <w:rFonts w:hint="eastAsia" w:hAnsi="Cambria Math"/>
                <w:i w:val="0"/>
                <w:iCs/>
                <w:color w:val="000000"/>
                <w:kern w:val="0"/>
                <w:sz w:val="18"/>
                <w:szCs w:val="20"/>
                <w:lang w:eastAsia="zh-CN"/>
              </w:rPr>
              <w:t>，</w:t>
            </w:r>
            <w:r>
              <w:rPr>
                <w:rFonts w:hint="eastAsia" w:ascii="宋体"/>
                <w:color w:val="000000"/>
                <w:kern w:val="0"/>
                <w:sz w:val="18"/>
                <w:szCs w:val="20"/>
              </w:rPr>
              <w:t>按干燥品计算），%</w:t>
            </w:r>
            <w:r>
              <w:rPr>
                <w:rFonts w:ascii="宋体"/>
                <w:color w:val="000000"/>
                <w:kern w:val="0"/>
                <w:sz w:val="18"/>
                <w:szCs w:val="20"/>
              </w:rPr>
              <w:t xml:space="preserve">                        </w:t>
            </w:r>
          </w:p>
        </w:tc>
        <w:tc>
          <w:tcPr>
            <w:tcW w:w="4786" w:type="dxa"/>
            <w:noWrap w:val="0"/>
            <w:vAlign w:val="top"/>
          </w:tcPr>
          <w:p w14:paraId="0D4C3365">
            <w:pPr>
              <w:widowControl/>
              <w:tabs>
                <w:tab w:val="center" w:pos="4201"/>
                <w:tab w:val="right" w:leader="dot" w:pos="9298"/>
              </w:tabs>
              <w:autoSpaceDE w:val="0"/>
              <w:autoSpaceDN w:val="0"/>
              <w:rPr>
                <w:rFonts w:hint="eastAsia" w:ascii="宋体"/>
                <w:color w:val="000000"/>
                <w:kern w:val="0"/>
                <w:sz w:val="18"/>
                <w:szCs w:val="20"/>
              </w:rPr>
            </w:pPr>
            <w:r>
              <w:rPr>
                <w:rFonts w:hint="eastAsia" w:ascii="宋体"/>
                <w:color w:val="000000"/>
                <w:kern w:val="0"/>
                <w:sz w:val="18"/>
                <w:szCs w:val="20"/>
              </w:rPr>
              <w:t>≥</w:t>
            </w:r>
            <w:r>
              <w:rPr>
                <w:rFonts w:ascii="宋体"/>
                <w:color w:val="000000"/>
                <w:kern w:val="0"/>
                <w:sz w:val="18"/>
                <w:szCs w:val="20"/>
              </w:rPr>
              <w:t>3.6</w:t>
            </w:r>
          </w:p>
        </w:tc>
      </w:tr>
    </w:tbl>
    <w:p w14:paraId="0BC20F15">
      <w:pPr>
        <w:pStyle w:val="53"/>
        <w:numPr>
          <w:ilvl w:val="0"/>
          <w:numId w:val="0"/>
        </w:numPr>
        <w:spacing w:before="156" w:after="156"/>
        <w:ind w:left="0" w:leftChars="0" w:firstLine="0" w:firstLineChars="0"/>
        <w:rPr>
          <w:rFonts w:hint="eastAsia"/>
        </w:rPr>
      </w:pPr>
      <w:r>
        <w:rPr>
          <w:rFonts w:hint="eastAsia" w:ascii="黑体" w:hAnsi="Times New Roman" w:eastAsia="黑体"/>
          <w:b w:val="0"/>
          <w:i w:val="0"/>
          <w:sz w:val="21"/>
          <w:szCs w:val="21"/>
          <w:lang w:val="en-US" w:eastAsia="zh-CN" w:bidi="ar-SA"/>
        </w:rPr>
        <w:t>5.</w:t>
      </w:r>
      <w:r>
        <w:rPr>
          <w:rFonts w:hint="eastAsia" w:hAnsi="Times New Roman"/>
          <w:b w:val="0"/>
          <w:i w:val="0"/>
          <w:sz w:val="21"/>
          <w:szCs w:val="21"/>
          <w:lang w:val="en-US" w:eastAsia="zh-CN" w:bidi="ar-SA"/>
        </w:rPr>
        <w:t>4</w:t>
      </w:r>
      <w:r>
        <w:rPr>
          <w:rFonts w:hint="eastAsia" w:ascii="黑体" w:hAnsi="Times New Roman" w:eastAsia="黑体"/>
          <w:b w:val="0"/>
          <w:i w:val="0"/>
          <w:sz w:val="21"/>
          <w:szCs w:val="21"/>
          <w:lang w:val="en-US" w:eastAsia="zh-CN" w:bidi="ar-SA"/>
        </w:rPr>
        <w:t>.3　</w:t>
      </w:r>
      <w:r>
        <w:rPr>
          <w:rFonts w:hint="eastAsia"/>
        </w:rPr>
        <w:t>重金属及有害元素</w:t>
      </w:r>
    </w:p>
    <w:p w14:paraId="2DAFC482">
      <w:pPr>
        <w:pStyle w:val="22"/>
        <w:rPr>
          <w:rFonts w:hint="eastAsia"/>
          <w:lang w:val="en-US" w:eastAsia="zh-CN"/>
        </w:rPr>
      </w:pPr>
      <w:r>
        <w:rPr>
          <w:rFonts w:hint="eastAsia"/>
          <w:lang w:eastAsia="zh-CN"/>
        </w:rPr>
        <w:t>应符合《中华人民共和国药典》</w:t>
      </w:r>
      <w:r>
        <w:rPr>
          <w:rFonts w:hint="eastAsia"/>
          <w:lang w:val="en-US" w:eastAsia="zh-CN"/>
        </w:rPr>
        <w:t>2020年版一部栀子【检查】重金属及有害元素项下要求。</w:t>
      </w:r>
    </w:p>
    <w:p w14:paraId="6FA079F3">
      <w:pPr>
        <w:pStyle w:val="53"/>
        <w:numPr>
          <w:ilvl w:val="0"/>
          <w:numId w:val="0"/>
        </w:numPr>
        <w:spacing w:before="156" w:after="156"/>
        <w:ind w:left="0" w:leftChars="0" w:firstLine="0" w:firstLineChars="0"/>
        <w:rPr>
          <w:rFonts w:hint="eastAsia"/>
          <w:lang w:eastAsia="zh-CN"/>
        </w:rPr>
      </w:pPr>
      <w:r>
        <w:rPr>
          <w:rFonts w:hint="eastAsia" w:ascii="黑体" w:hAnsi="Times New Roman" w:eastAsia="黑体"/>
          <w:b w:val="0"/>
          <w:i w:val="0"/>
          <w:sz w:val="21"/>
          <w:szCs w:val="21"/>
          <w:lang w:val="en-US" w:eastAsia="zh-CN" w:bidi="ar-SA"/>
        </w:rPr>
        <w:t>5.</w:t>
      </w:r>
      <w:r>
        <w:rPr>
          <w:rFonts w:hint="eastAsia" w:hAnsi="Times New Roman"/>
          <w:b w:val="0"/>
          <w:i w:val="0"/>
          <w:sz w:val="21"/>
          <w:szCs w:val="21"/>
          <w:lang w:val="en-US" w:eastAsia="zh-CN" w:bidi="ar-SA"/>
        </w:rPr>
        <w:t>4</w:t>
      </w:r>
      <w:r>
        <w:rPr>
          <w:rFonts w:hint="eastAsia" w:ascii="黑体" w:hAnsi="Times New Roman" w:eastAsia="黑体"/>
          <w:b w:val="0"/>
          <w:i w:val="0"/>
          <w:sz w:val="21"/>
          <w:szCs w:val="21"/>
          <w:lang w:val="en-US" w:eastAsia="zh-CN" w:bidi="ar-SA"/>
        </w:rPr>
        <w:t>.</w:t>
      </w:r>
      <w:r>
        <w:rPr>
          <w:rFonts w:hint="eastAsia" w:hAnsi="Times New Roman"/>
          <w:b w:val="0"/>
          <w:i w:val="0"/>
          <w:sz w:val="21"/>
          <w:szCs w:val="21"/>
          <w:lang w:val="en-US" w:eastAsia="zh-CN" w:bidi="ar-SA"/>
        </w:rPr>
        <w:t>4</w:t>
      </w:r>
      <w:r>
        <w:rPr>
          <w:rFonts w:hint="eastAsia" w:ascii="黑体" w:hAnsi="Times New Roman" w:eastAsia="黑体"/>
          <w:b w:val="0"/>
          <w:i w:val="0"/>
          <w:sz w:val="21"/>
          <w:szCs w:val="21"/>
          <w:lang w:val="en-US" w:eastAsia="zh-CN" w:bidi="ar-SA"/>
        </w:rPr>
        <w:t>　</w:t>
      </w:r>
      <w:r>
        <w:rPr>
          <w:rFonts w:hint="eastAsia"/>
          <w:lang w:eastAsia="zh-CN"/>
        </w:rPr>
        <w:t>农药残留</w:t>
      </w:r>
    </w:p>
    <w:p w14:paraId="26C861B5">
      <w:pPr>
        <w:pStyle w:val="22"/>
        <w:rPr>
          <w:rFonts w:hint="default"/>
          <w:lang w:val="en-US" w:eastAsia="zh-CN"/>
        </w:rPr>
      </w:pPr>
      <w:r>
        <w:rPr>
          <w:rFonts w:hint="eastAsia"/>
          <w:lang w:eastAsia="zh-CN"/>
        </w:rPr>
        <w:t>应符合《中华人民共和国药典》</w:t>
      </w:r>
      <w:r>
        <w:rPr>
          <w:rFonts w:hint="eastAsia"/>
          <w:lang w:val="en-US" w:eastAsia="zh-CN"/>
        </w:rPr>
        <w:t>2020年版四部通则0212中有关要求。</w:t>
      </w:r>
    </w:p>
    <w:p w14:paraId="3772F196">
      <w:pPr>
        <w:pStyle w:val="22"/>
        <w:ind w:left="0" w:leftChars="0" w:firstLine="0" w:firstLineChars="0"/>
        <w:rPr>
          <w:rFonts w:hint="default"/>
          <w:lang w:val="en-US" w:eastAsia="zh-CN"/>
        </w:rPr>
      </w:pPr>
    </w:p>
    <w:p w14:paraId="71DAF228">
      <w:pPr>
        <w:pStyle w:val="57"/>
        <w:numPr>
          <w:ilvl w:val="0"/>
          <w:numId w:val="0"/>
        </w:numPr>
        <w:ind w:left="0" w:leftChars="0" w:firstLine="0" w:firstLineChars="0"/>
        <w:rPr>
          <w:rFonts w:hint="eastAsia"/>
          <w:color w:val="000000"/>
        </w:rPr>
      </w:pPr>
      <w:bookmarkStart w:id="38" w:name="_Toc66282451"/>
      <w:r>
        <w:rPr>
          <w:rFonts w:hint="eastAsia" w:ascii="黑体" w:hAnsi="Times New Roman" w:eastAsia="黑体"/>
          <w:b w:val="0"/>
          <w:i w:val="0"/>
          <w:color w:val="000000"/>
          <w:sz w:val="21"/>
          <w:szCs w:val="21"/>
          <w:lang w:val="en-US" w:eastAsia="zh-CN" w:bidi="ar-SA"/>
        </w:rPr>
        <w:t>6　</w:t>
      </w:r>
      <w:r>
        <w:rPr>
          <w:rFonts w:hint="eastAsia"/>
          <w:color w:val="000000"/>
        </w:rPr>
        <w:t>试验方法</w:t>
      </w:r>
      <w:bookmarkEnd w:id="38"/>
    </w:p>
    <w:p w14:paraId="7BC48269">
      <w:pPr>
        <w:pStyle w:val="54"/>
        <w:numPr>
          <w:ilvl w:val="0"/>
          <w:numId w:val="0"/>
        </w:numPr>
        <w:ind w:left="0" w:leftChars="0" w:firstLine="0" w:firstLineChars="0"/>
        <w:rPr>
          <w:rFonts w:hint="eastAsia"/>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6.1　</w:t>
      </w:r>
      <w:r>
        <w:rPr>
          <w:rFonts w:hint="eastAsia"/>
          <w:color w:val="000000"/>
          <w:lang w:eastAsia="zh-CN"/>
        </w:rPr>
        <w:t>性状</w:t>
      </w:r>
      <w:r>
        <w:rPr>
          <w:rFonts w:hint="eastAsia"/>
          <w:color w:val="000000"/>
        </w:rPr>
        <w:t>指标</w:t>
      </w:r>
    </w:p>
    <w:p w14:paraId="64042E60">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通过目测、</w:t>
      </w:r>
      <w:r>
        <w:rPr>
          <w:rFonts w:hint="eastAsia" w:ascii="宋体"/>
          <w:color w:val="000000"/>
          <w:kern w:val="0"/>
          <w:szCs w:val="20"/>
          <w:lang w:eastAsia="zh-CN"/>
        </w:rPr>
        <w:t>刻度尺测、</w:t>
      </w:r>
      <w:r>
        <w:rPr>
          <w:rFonts w:hint="eastAsia" w:ascii="宋体"/>
          <w:color w:val="000000"/>
          <w:kern w:val="0"/>
          <w:szCs w:val="20"/>
        </w:rPr>
        <w:t>手握、鼻嗅和嘴尝</w:t>
      </w:r>
      <w:r>
        <w:rPr>
          <w:rFonts w:hint="eastAsia" w:ascii="宋体"/>
          <w:color w:val="000000"/>
          <w:kern w:val="0"/>
          <w:szCs w:val="20"/>
          <w:lang w:eastAsia="zh-CN"/>
        </w:rPr>
        <w:t>等方法进行测定</w:t>
      </w:r>
      <w:r>
        <w:rPr>
          <w:rFonts w:hint="eastAsia" w:ascii="宋体"/>
          <w:color w:val="000000"/>
          <w:kern w:val="0"/>
          <w:szCs w:val="20"/>
        </w:rPr>
        <w:t>。</w:t>
      </w:r>
    </w:p>
    <w:p w14:paraId="37B36985">
      <w:pPr>
        <w:pStyle w:val="54"/>
        <w:numPr>
          <w:ilvl w:val="0"/>
          <w:numId w:val="0"/>
        </w:numPr>
        <w:ind w:left="0" w:leftChars="0" w:firstLine="0" w:firstLineChars="0"/>
        <w:rPr>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6.2　</w:t>
      </w:r>
      <w:r>
        <w:rPr>
          <w:rFonts w:hint="eastAsia"/>
          <w:color w:val="000000"/>
        </w:rPr>
        <w:t>理化指标</w:t>
      </w:r>
    </w:p>
    <w:p w14:paraId="28D89644">
      <w:pPr>
        <w:pStyle w:val="57"/>
        <w:numPr>
          <w:ilvl w:val="0"/>
          <w:numId w:val="0"/>
        </w:numPr>
        <w:ind w:left="0" w:leftChars="0" w:firstLine="0" w:firstLineChars="0"/>
        <w:rPr>
          <w:rFonts w:hint="eastAsia" w:hAnsi="Times New Roman" w:cs="Times New Roman"/>
          <w:color w:val="000000"/>
          <w:lang w:val="en-US" w:eastAsia="zh-CN"/>
        </w:rPr>
      </w:pPr>
      <w:bookmarkStart w:id="39" w:name="_Hlk42517807"/>
      <w:r>
        <w:rPr>
          <w:rFonts w:hint="eastAsia" w:hAnsi="Times New Roman" w:cs="Times New Roman"/>
          <w:color w:val="000000"/>
          <w:lang w:val="en-US" w:eastAsia="zh-CN"/>
        </w:rPr>
        <w:t>6.2.1  水分</w:t>
      </w:r>
    </w:p>
    <w:p w14:paraId="3C17C7B1">
      <w:pPr>
        <w:pStyle w:val="57"/>
        <w:numPr>
          <w:ilvl w:val="0"/>
          <w:numId w:val="0"/>
        </w:numPr>
        <w:ind w:left="0" w:leftChars="0" w:firstLine="0" w:firstLineChars="0"/>
        <w:rPr>
          <w:rFonts w:hint="eastAsia" w:ascii="宋体" w:hAnsi="Times New Roman" w:eastAsia="宋体" w:cs="Times New Roman"/>
          <w:color w:val="000000"/>
          <w:kern w:val="0"/>
          <w:sz w:val="21"/>
          <w:szCs w:val="20"/>
          <w:lang w:val="eu-ES" w:eastAsia="zh-CN" w:bidi="ar-SA"/>
        </w:rPr>
      </w:pPr>
      <w:r>
        <w:rPr>
          <w:rFonts w:hint="eastAsia" w:ascii="宋体" w:hAnsi="Times New Roman" w:eastAsia="宋体" w:cs="Times New Roman"/>
          <w:color w:val="000000"/>
          <w:kern w:val="0"/>
          <w:sz w:val="21"/>
          <w:szCs w:val="20"/>
          <w:lang w:val="en-US" w:eastAsia="zh-CN" w:bidi="ar-SA"/>
        </w:rPr>
        <w:t>按《中华人民共和国药典》2020年</w:t>
      </w:r>
      <w:r>
        <w:rPr>
          <w:rFonts w:hint="eastAsia" w:ascii="宋体" w:hAnsi="Times New Roman" w:eastAsia="宋体" w:cs="Times New Roman"/>
          <w:color w:val="000000"/>
          <w:kern w:val="0"/>
          <w:sz w:val="21"/>
          <w:szCs w:val="20"/>
          <w:lang w:val="eu-ES" w:eastAsia="zh-CN" w:bidi="ar-SA"/>
        </w:rPr>
        <w:t>版四部通则</w:t>
      </w:r>
      <w:r>
        <w:rPr>
          <w:rFonts w:hint="eastAsia" w:ascii="宋体" w:hAnsi="Times New Roman" w:eastAsia="宋体" w:cs="Times New Roman"/>
          <w:color w:val="000000"/>
          <w:kern w:val="0"/>
          <w:sz w:val="21"/>
          <w:szCs w:val="20"/>
          <w:lang w:val="en-US" w:eastAsia="zh-CN" w:bidi="ar-SA"/>
        </w:rPr>
        <w:t>0832第二法的规定进行测定。</w:t>
      </w:r>
    </w:p>
    <w:p w14:paraId="3AFB1CE8">
      <w:pPr>
        <w:pStyle w:val="57"/>
        <w:numPr>
          <w:ilvl w:val="0"/>
          <w:numId w:val="0"/>
        </w:numPr>
        <w:ind w:left="0" w:leftChars="0" w:firstLine="0" w:firstLineChars="0"/>
        <w:rPr>
          <w:rFonts w:hint="eastAsia" w:hAnsi="Times New Roman" w:cs="Times New Roman"/>
          <w:color w:val="000000"/>
          <w:lang w:val="en-US" w:eastAsia="zh-CN"/>
        </w:rPr>
      </w:pPr>
      <w:r>
        <w:rPr>
          <w:rFonts w:hint="eastAsia" w:hAnsi="Times New Roman" w:cs="Times New Roman"/>
          <w:color w:val="000000"/>
          <w:lang w:val="en-US" w:eastAsia="zh-CN"/>
        </w:rPr>
        <w:t>6.2.2  总灰分</w:t>
      </w:r>
    </w:p>
    <w:p w14:paraId="19E3B8DD">
      <w:pPr>
        <w:pStyle w:val="57"/>
        <w:numPr>
          <w:ilvl w:val="0"/>
          <w:numId w:val="0"/>
        </w:numPr>
        <w:ind w:left="0" w:leftChars="0" w:firstLine="0" w:firstLineChars="0"/>
        <w:rPr>
          <w:rFonts w:hint="eastAsia" w:ascii="宋体" w:hAnsi="Times New Roman" w:eastAsia="宋体" w:cs="Times New Roman"/>
          <w:color w:val="000000"/>
          <w:kern w:val="0"/>
          <w:sz w:val="21"/>
          <w:szCs w:val="20"/>
          <w:lang w:val="en-US" w:eastAsia="zh-CN" w:bidi="ar-SA"/>
        </w:rPr>
      </w:pPr>
      <w:r>
        <w:rPr>
          <w:rFonts w:hint="eastAsia" w:ascii="宋体" w:hAnsi="Times New Roman" w:eastAsia="宋体" w:cs="Times New Roman"/>
          <w:color w:val="000000"/>
          <w:kern w:val="0"/>
          <w:sz w:val="21"/>
          <w:szCs w:val="20"/>
          <w:lang w:val="en-US" w:eastAsia="zh-CN" w:bidi="ar-SA"/>
        </w:rPr>
        <w:t>按</w:t>
      </w:r>
      <w:r>
        <w:rPr>
          <w:rFonts w:hint="eastAsia" w:ascii="宋体" w:hAnsi="Times New Roman" w:eastAsia="宋体" w:cs="Times New Roman"/>
          <w:color w:val="000000"/>
          <w:kern w:val="0"/>
          <w:sz w:val="21"/>
          <w:szCs w:val="20"/>
          <w:lang w:val="eu-ES" w:eastAsia="zh-CN" w:bidi="ar-SA"/>
        </w:rPr>
        <w:t>《中</w:t>
      </w:r>
      <w:r>
        <w:rPr>
          <w:rFonts w:hint="eastAsia" w:ascii="宋体" w:eastAsia="宋体" w:cs="Times New Roman"/>
          <w:color w:val="000000"/>
          <w:kern w:val="0"/>
          <w:sz w:val="21"/>
          <w:szCs w:val="20"/>
          <w:lang w:val="eu-ES" w:eastAsia="zh-CN" w:bidi="ar-SA"/>
        </w:rPr>
        <w:t>华</w:t>
      </w:r>
      <w:r>
        <w:rPr>
          <w:rFonts w:hint="eastAsia" w:ascii="宋体" w:hAnsi="Times New Roman" w:eastAsia="宋体" w:cs="Times New Roman"/>
          <w:color w:val="000000"/>
          <w:kern w:val="0"/>
          <w:sz w:val="21"/>
          <w:szCs w:val="20"/>
          <w:lang w:val="eu-ES" w:eastAsia="zh-CN" w:bidi="ar-SA"/>
        </w:rPr>
        <w:t>人民共和国药典》2020年版四部通则</w:t>
      </w:r>
      <w:r>
        <w:rPr>
          <w:rFonts w:hint="eastAsia" w:ascii="宋体" w:hAnsi="Times New Roman" w:eastAsia="宋体" w:cs="Times New Roman"/>
          <w:color w:val="000000"/>
          <w:kern w:val="0"/>
          <w:sz w:val="21"/>
          <w:szCs w:val="20"/>
          <w:lang w:val="en-US" w:eastAsia="zh-CN" w:bidi="ar-SA"/>
        </w:rPr>
        <w:t>2302的规定进行测定。</w:t>
      </w:r>
    </w:p>
    <w:p w14:paraId="6A49E382">
      <w:pPr>
        <w:pStyle w:val="57"/>
        <w:numPr>
          <w:ilvl w:val="0"/>
          <w:numId w:val="0"/>
        </w:numPr>
        <w:ind w:left="0" w:leftChars="0" w:firstLine="0" w:firstLineChars="0"/>
        <w:rPr>
          <w:rFonts w:hint="eastAsia" w:hAnsi="Times New Roman" w:cs="Times New Roman"/>
          <w:color w:val="000000"/>
          <w:lang w:val="en-US" w:eastAsia="zh-CN"/>
        </w:rPr>
      </w:pPr>
      <w:r>
        <w:rPr>
          <w:rFonts w:hint="eastAsia" w:hAnsi="Times New Roman" w:cs="Times New Roman"/>
          <w:color w:val="000000"/>
          <w:lang w:val="en-US" w:eastAsia="zh-CN"/>
        </w:rPr>
        <w:t>6.2.3  栀子苷</w:t>
      </w:r>
    </w:p>
    <w:p w14:paraId="60377774">
      <w:pPr>
        <w:pStyle w:val="57"/>
        <w:numPr>
          <w:ilvl w:val="0"/>
          <w:numId w:val="0"/>
        </w:numPr>
        <w:ind w:left="0" w:leftChars="0" w:firstLine="0" w:firstLineChars="0"/>
        <w:rPr>
          <w:rFonts w:hint="eastAsia" w:ascii="宋体" w:hAnsi="Times New Roman" w:eastAsia="宋体" w:cs="Times New Roman"/>
          <w:color w:val="000000"/>
          <w:kern w:val="0"/>
          <w:sz w:val="21"/>
          <w:szCs w:val="20"/>
          <w:lang w:val="en-US" w:eastAsia="zh-CN" w:bidi="ar-SA"/>
        </w:rPr>
      </w:pPr>
      <w:r>
        <w:rPr>
          <w:rFonts w:hint="eastAsia" w:ascii="宋体" w:hAnsi="Times New Roman" w:eastAsia="宋体" w:cs="Times New Roman"/>
          <w:color w:val="000000"/>
          <w:kern w:val="0"/>
          <w:sz w:val="21"/>
          <w:szCs w:val="20"/>
          <w:lang w:val="eu-ES" w:eastAsia="zh-CN" w:bidi="ar-SA"/>
        </w:rPr>
        <w:t>按《中</w:t>
      </w:r>
      <w:r>
        <w:rPr>
          <w:rFonts w:hint="eastAsia" w:ascii="宋体" w:eastAsia="宋体" w:cs="Times New Roman"/>
          <w:color w:val="000000"/>
          <w:kern w:val="0"/>
          <w:sz w:val="21"/>
          <w:szCs w:val="20"/>
          <w:lang w:val="eu-ES" w:eastAsia="zh-CN" w:bidi="ar-SA"/>
        </w:rPr>
        <w:t>华</w:t>
      </w:r>
      <w:bookmarkStart w:id="45" w:name="_GoBack"/>
      <w:bookmarkEnd w:id="45"/>
      <w:r>
        <w:rPr>
          <w:rFonts w:hint="eastAsia" w:ascii="宋体" w:hAnsi="Times New Roman" w:eastAsia="宋体" w:cs="Times New Roman"/>
          <w:color w:val="000000"/>
          <w:kern w:val="0"/>
          <w:sz w:val="21"/>
          <w:szCs w:val="20"/>
          <w:lang w:val="eu-ES" w:eastAsia="zh-CN" w:bidi="ar-SA"/>
        </w:rPr>
        <w:t>人民共和国药典》2020年版一部栀子【含量测定】项下的规定进行测定。</w:t>
      </w:r>
    </w:p>
    <w:p w14:paraId="72F652A8">
      <w:pPr>
        <w:pStyle w:val="57"/>
        <w:numPr>
          <w:ilvl w:val="0"/>
          <w:numId w:val="0"/>
        </w:numPr>
        <w:ind w:left="0" w:leftChars="0" w:firstLine="0" w:firstLineChars="0"/>
        <w:rPr>
          <w:rFonts w:hint="eastAsia" w:hAnsi="Times New Roman" w:cs="Times New Roman"/>
          <w:color w:val="000000"/>
        </w:rPr>
      </w:pPr>
      <w:r>
        <w:rPr>
          <w:rFonts w:hint="eastAsia" w:hAnsi="Times New Roman" w:cs="Times New Roman"/>
          <w:color w:val="000000"/>
          <w:lang w:val="en-US" w:eastAsia="zh-CN"/>
        </w:rPr>
        <w:t>6.3　</w:t>
      </w:r>
      <w:r>
        <w:rPr>
          <w:rFonts w:hint="eastAsia" w:hAnsi="Times New Roman" w:cs="Times New Roman"/>
          <w:color w:val="000000"/>
        </w:rPr>
        <w:t>重金属及有害元素</w:t>
      </w:r>
    </w:p>
    <w:p w14:paraId="14229600">
      <w:pPr>
        <w:pStyle w:val="22"/>
        <w:rPr>
          <w:rFonts w:hint="eastAsia"/>
          <w:color w:val="000000"/>
        </w:rPr>
      </w:pPr>
      <w:r>
        <w:rPr>
          <w:rFonts w:hint="eastAsia"/>
          <w:color w:val="000000"/>
        </w:rPr>
        <w:t>按《中华人民共和国药典》2020年</w:t>
      </w:r>
      <w:r>
        <w:rPr>
          <w:rFonts w:hint="eastAsia"/>
          <w:color w:val="000000"/>
          <w:lang w:val="eu-ES"/>
        </w:rPr>
        <w:t>版</w:t>
      </w:r>
      <w:r>
        <w:rPr>
          <w:rFonts w:hint="eastAsia"/>
          <w:color w:val="000000"/>
        </w:rPr>
        <w:t>四部通则2</w:t>
      </w:r>
      <w:r>
        <w:rPr>
          <w:color w:val="000000"/>
        </w:rPr>
        <w:t>321</w:t>
      </w:r>
      <w:r>
        <w:rPr>
          <w:rFonts w:hint="eastAsia"/>
          <w:color w:val="000000"/>
        </w:rPr>
        <w:t>的规定</w:t>
      </w:r>
      <w:r>
        <w:rPr>
          <w:rFonts w:hint="eastAsia"/>
          <w:color w:val="000000"/>
          <w:lang w:eastAsia="zh-CN"/>
        </w:rPr>
        <w:t>进行测定</w:t>
      </w:r>
      <w:r>
        <w:rPr>
          <w:rFonts w:hint="eastAsia"/>
          <w:color w:val="000000"/>
        </w:rPr>
        <w:t>。</w:t>
      </w:r>
    </w:p>
    <w:p w14:paraId="4EE46302">
      <w:pPr>
        <w:pStyle w:val="57"/>
        <w:numPr>
          <w:ilvl w:val="0"/>
          <w:numId w:val="0"/>
        </w:numPr>
        <w:ind w:left="0" w:leftChars="0" w:firstLine="0" w:firstLineChars="0"/>
        <w:rPr>
          <w:rFonts w:hint="eastAsia" w:hAnsi="Times New Roman" w:cs="Times New Roman"/>
          <w:color w:val="000000"/>
          <w:lang w:val="en-US" w:eastAsia="zh-CN"/>
        </w:rPr>
      </w:pPr>
      <w:r>
        <w:rPr>
          <w:rFonts w:hint="eastAsia" w:hAnsi="Times New Roman" w:cs="Times New Roman"/>
          <w:color w:val="000000"/>
          <w:lang w:val="en-US" w:eastAsia="zh-CN"/>
        </w:rPr>
        <w:t>6.4  农药残留</w:t>
      </w:r>
    </w:p>
    <w:p w14:paraId="356AEB17">
      <w:pPr>
        <w:pStyle w:val="57"/>
        <w:numPr>
          <w:ilvl w:val="0"/>
          <w:numId w:val="0"/>
        </w:numPr>
        <w:ind w:left="0" w:leftChars="0" w:firstLine="420" w:firstLineChars="200"/>
        <w:rPr>
          <w:rFonts w:hint="default" w:ascii="宋体" w:hAnsi="Times New Roman" w:eastAsia="宋体" w:cs="Times New Roman"/>
          <w:color w:val="000000"/>
          <w:sz w:val="21"/>
          <w:lang w:val="en-US" w:eastAsia="zh-CN" w:bidi="ar-SA"/>
        </w:rPr>
      </w:pPr>
      <w:r>
        <w:rPr>
          <w:rFonts w:hint="eastAsia" w:ascii="宋体" w:hAnsi="Times New Roman" w:eastAsia="宋体" w:cs="Times New Roman"/>
          <w:color w:val="000000"/>
          <w:sz w:val="21"/>
          <w:lang w:val="en-US" w:eastAsia="zh-CN" w:bidi="ar-SA"/>
        </w:rPr>
        <w:t>按《中华人民共和国药典》2020年</w:t>
      </w:r>
      <w:r>
        <w:rPr>
          <w:rFonts w:hint="eastAsia" w:ascii="宋体" w:hAnsi="Times New Roman" w:eastAsia="宋体" w:cs="Times New Roman"/>
          <w:color w:val="000000"/>
          <w:sz w:val="21"/>
          <w:lang w:val="eu-ES" w:eastAsia="zh-CN" w:bidi="ar-SA"/>
        </w:rPr>
        <w:t>版</w:t>
      </w:r>
      <w:r>
        <w:rPr>
          <w:rFonts w:hint="eastAsia" w:ascii="宋体" w:hAnsi="Times New Roman" w:eastAsia="宋体" w:cs="Times New Roman"/>
          <w:color w:val="000000"/>
          <w:sz w:val="21"/>
          <w:lang w:val="en-US" w:eastAsia="zh-CN" w:bidi="ar-SA"/>
        </w:rPr>
        <w:t>四部通则2341的规定进行测定。</w:t>
      </w:r>
    </w:p>
    <w:bookmarkEnd w:id="39"/>
    <w:p w14:paraId="31117F34">
      <w:pPr>
        <w:pStyle w:val="57"/>
        <w:numPr>
          <w:ilvl w:val="0"/>
          <w:numId w:val="0"/>
        </w:numPr>
        <w:ind w:left="0" w:leftChars="0" w:firstLine="0" w:firstLineChars="0"/>
        <w:rPr>
          <w:rFonts w:hint="eastAsia"/>
          <w:color w:val="000000"/>
        </w:rPr>
      </w:pPr>
      <w:bookmarkStart w:id="40" w:name="_Toc66282452"/>
      <w:r>
        <w:rPr>
          <w:rFonts w:hint="eastAsia" w:ascii="黑体" w:hAnsi="Times New Roman" w:eastAsia="黑体"/>
          <w:b w:val="0"/>
          <w:i w:val="0"/>
          <w:color w:val="000000"/>
          <w:sz w:val="21"/>
          <w:szCs w:val="21"/>
          <w:lang w:val="en-US" w:eastAsia="zh-CN" w:bidi="ar-SA"/>
        </w:rPr>
        <w:t>7　</w:t>
      </w:r>
      <w:r>
        <w:rPr>
          <w:rFonts w:hint="eastAsia"/>
          <w:color w:val="000000"/>
        </w:rPr>
        <w:t>检验规则</w:t>
      </w:r>
      <w:bookmarkEnd w:id="40"/>
    </w:p>
    <w:p w14:paraId="4DD72B24">
      <w:pPr>
        <w:pStyle w:val="54"/>
        <w:numPr>
          <w:ilvl w:val="0"/>
          <w:numId w:val="0"/>
        </w:numPr>
        <w:ind w:left="0" w:leftChars="0" w:firstLine="0" w:firstLineChars="0"/>
        <w:rPr>
          <w:rFonts w:hint="eastAsia"/>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7.1　</w:t>
      </w:r>
      <w:r>
        <w:rPr>
          <w:rFonts w:hint="eastAsia"/>
          <w:color w:val="000000"/>
        </w:rPr>
        <w:t>组批</w:t>
      </w:r>
    </w:p>
    <w:p w14:paraId="6AFA01C2">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同一产地、同时采收、同批加工的樟树黄栀子作为一个检验批次。</w:t>
      </w:r>
    </w:p>
    <w:p w14:paraId="10767761">
      <w:pPr>
        <w:pStyle w:val="54"/>
        <w:numPr>
          <w:ilvl w:val="0"/>
          <w:numId w:val="0"/>
        </w:numPr>
        <w:ind w:left="0" w:leftChars="0" w:firstLine="0" w:firstLineChars="0"/>
        <w:rPr>
          <w:rFonts w:hint="eastAsia"/>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7.2　</w:t>
      </w:r>
      <w:r>
        <w:rPr>
          <w:rFonts w:hint="eastAsia"/>
          <w:color w:val="000000"/>
        </w:rPr>
        <w:t>取样方法</w:t>
      </w:r>
    </w:p>
    <w:p w14:paraId="32FFF07A">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按《中华人民共和国药典》20</w:t>
      </w:r>
      <w:r>
        <w:rPr>
          <w:rFonts w:ascii="宋体"/>
          <w:color w:val="000000"/>
          <w:kern w:val="0"/>
          <w:szCs w:val="20"/>
        </w:rPr>
        <w:t>20</w:t>
      </w:r>
      <w:r>
        <w:rPr>
          <w:rFonts w:hint="eastAsia" w:ascii="宋体"/>
          <w:color w:val="000000"/>
          <w:kern w:val="0"/>
          <w:szCs w:val="20"/>
        </w:rPr>
        <w:t>年版四部通则0211有关规定取样。</w:t>
      </w:r>
    </w:p>
    <w:p w14:paraId="39907E86">
      <w:pPr>
        <w:pStyle w:val="54"/>
        <w:numPr>
          <w:ilvl w:val="0"/>
          <w:numId w:val="0"/>
        </w:numPr>
        <w:ind w:left="0" w:leftChars="0" w:firstLine="0" w:firstLineChars="0"/>
        <w:rPr>
          <w:rFonts w:hint="eastAsia"/>
          <w:color w:val="000000"/>
          <w:lang w:eastAsia="zh-CN"/>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7.3　</w:t>
      </w:r>
      <w:r>
        <w:rPr>
          <w:rFonts w:hint="eastAsia"/>
          <w:color w:val="000000"/>
          <w:lang w:eastAsia="zh-CN"/>
        </w:rPr>
        <w:t>判定规则</w:t>
      </w:r>
    </w:p>
    <w:p w14:paraId="69409E8E">
      <w:pPr>
        <w:pStyle w:val="22"/>
        <w:rPr>
          <w:rFonts w:hint="eastAsia"/>
          <w:lang w:eastAsia="zh-CN"/>
        </w:rPr>
      </w:pPr>
      <w:r>
        <w:rPr>
          <w:rFonts w:hint="eastAsia"/>
          <w:color w:val="000000"/>
          <w:lang w:eastAsia="zh-CN"/>
        </w:rPr>
        <w:t>检验结果全部符合标准，则判定该批产品为合格。否则，在同一批次中加倍抽取样品复检一次，若复检结果仍有指标不符合标准规定的，则判定该批产品为不合格。</w:t>
      </w:r>
    </w:p>
    <w:p w14:paraId="645B97AC">
      <w:pPr>
        <w:pStyle w:val="57"/>
        <w:numPr>
          <w:ilvl w:val="0"/>
          <w:numId w:val="0"/>
        </w:numPr>
        <w:ind w:left="0" w:leftChars="0" w:firstLine="0" w:firstLineChars="0"/>
        <w:rPr>
          <w:rFonts w:hint="eastAsia"/>
          <w:color w:val="000000"/>
          <w:lang w:eastAsia="zh-CN"/>
        </w:rPr>
      </w:pPr>
      <w:bookmarkStart w:id="41" w:name="_Toc66282453"/>
      <w:r>
        <w:rPr>
          <w:rFonts w:hint="eastAsia" w:ascii="黑体" w:hAnsi="Times New Roman" w:eastAsia="黑体"/>
          <w:b w:val="0"/>
          <w:i w:val="0"/>
          <w:color w:val="000000"/>
          <w:sz w:val="21"/>
          <w:szCs w:val="21"/>
          <w:lang w:val="en-US" w:eastAsia="zh-CN" w:bidi="ar-SA"/>
        </w:rPr>
        <w:t>8　</w:t>
      </w:r>
      <w:r>
        <w:rPr>
          <w:rFonts w:hint="eastAsia"/>
          <w:color w:val="000000"/>
        </w:rPr>
        <w:t>标识、包装、贮藏</w:t>
      </w:r>
      <w:r>
        <w:rPr>
          <w:rFonts w:hint="eastAsia"/>
          <w:color w:val="000000"/>
          <w:lang w:eastAsia="zh-CN"/>
        </w:rPr>
        <w:t>、</w:t>
      </w:r>
      <w:r>
        <w:rPr>
          <w:rFonts w:hint="eastAsia"/>
          <w:color w:val="000000"/>
        </w:rPr>
        <w:t>运输</w:t>
      </w:r>
      <w:bookmarkEnd w:id="41"/>
      <w:r>
        <w:rPr>
          <w:rFonts w:hint="eastAsia"/>
          <w:color w:val="000000"/>
          <w:lang w:eastAsia="zh-CN"/>
        </w:rPr>
        <w:t>和追溯管理</w:t>
      </w:r>
    </w:p>
    <w:p w14:paraId="3E7B8A6A">
      <w:pPr>
        <w:pStyle w:val="54"/>
        <w:numPr>
          <w:ilvl w:val="0"/>
          <w:numId w:val="0"/>
        </w:numPr>
        <w:ind w:left="0" w:leftChars="0" w:firstLine="0" w:firstLineChars="0"/>
        <w:rPr>
          <w:rFonts w:hint="eastAsia"/>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8.1　</w:t>
      </w:r>
      <w:r>
        <w:rPr>
          <w:rFonts w:hint="eastAsia"/>
          <w:color w:val="000000"/>
        </w:rPr>
        <w:t>标识</w:t>
      </w:r>
    </w:p>
    <w:p w14:paraId="655EDADA">
      <w:pPr>
        <w:pStyle w:val="54"/>
        <w:numPr>
          <w:ilvl w:val="0"/>
          <w:numId w:val="0"/>
        </w:numPr>
        <w:rPr>
          <w:rFonts w:hint="eastAsia"/>
          <w:color w:val="000000"/>
        </w:rPr>
      </w:pPr>
      <w:r>
        <w:rPr>
          <w:rFonts w:hint="eastAsia"/>
          <w:color w:val="000000"/>
        </w:rPr>
        <w:t>8.1.1</w:t>
      </w:r>
      <w:bookmarkStart w:id="42" w:name="_Hlk51686376"/>
      <w:r>
        <w:rPr>
          <w:rFonts w:hint="eastAsia"/>
          <w:color w:val="000000"/>
        </w:rPr>
        <w:t>标志</w:t>
      </w:r>
    </w:p>
    <w:p w14:paraId="303B40B5">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lang w:eastAsia="zh-CN"/>
        </w:rPr>
        <w:t>获准使用地理标志产品专用标志的生产者，可在其产品包装上使用符合</w:t>
      </w:r>
      <w:r>
        <w:rPr>
          <w:rFonts w:hint="eastAsia" w:ascii="宋体"/>
          <w:color w:val="000000"/>
          <w:kern w:val="0"/>
          <w:szCs w:val="20"/>
          <w:lang w:val="en-US" w:eastAsia="zh-CN"/>
        </w:rPr>
        <w:t>GB/T 17924规定的防伪专用标志。</w:t>
      </w:r>
      <w:r>
        <w:rPr>
          <w:rFonts w:hint="eastAsia" w:ascii="宋体"/>
          <w:color w:val="000000"/>
          <w:kern w:val="0"/>
          <w:szCs w:val="20"/>
        </w:rPr>
        <w:t>包装储运图示标志按GB/T 191规定执行。</w:t>
      </w:r>
    </w:p>
    <w:p w14:paraId="23DA50BA">
      <w:pPr>
        <w:pStyle w:val="53"/>
        <w:numPr>
          <w:ilvl w:val="0"/>
          <w:numId w:val="0"/>
        </w:numPr>
        <w:ind w:left="0" w:leftChars="0" w:firstLine="0" w:firstLineChars="0"/>
        <w:rPr>
          <w:rFonts w:hint="eastAsia" w:ascii="黑体" w:hAnsi="Times New Roman" w:eastAsia="黑体" w:cs="Times New Roman"/>
          <w:color w:val="000000"/>
          <w:sz w:val="21"/>
          <w:szCs w:val="21"/>
          <w:lang w:val="en-US" w:eastAsia="zh-CN" w:bidi="ar-SA"/>
        </w:rPr>
      </w:pPr>
      <w:r>
        <w:rPr>
          <w:rFonts w:hint="eastAsia" w:ascii="黑体" w:hAnsi="Times New Roman" w:eastAsia="黑体" w:cs="Times New Roman"/>
          <w:color w:val="000000"/>
          <w:sz w:val="21"/>
          <w:szCs w:val="21"/>
          <w:lang w:val="en-US" w:eastAsia="zh-CN" w:bidi="ar-SA"/>
        </w:rPr>
        <w:t>8.1.2地理标志专用标志</w:t>
      </w:r>
    </w:p>
    <w:p w14:paraId="4C5AA95A">
      <w:pPr>
        <w:pStyle w:val="22"/>
        <w:bidi w:val="0"/>
        <w:rPr>
          <w:rFonts w:hint="eastAsia" w:ascii="宋体" w:hAnsi="Times New Roman" w:eastAsia="宋体" w:cs="Times New Roman"/>
          <w:color w:val="000000"/>
          <w:kern w:val="0"/>
          <w:sz w:val="21"/>
          <w:szCs w:val="20"/>
          <w:lang w:val="en-US" w:eastAsia="zh-CN" w:bidi="ar-SA"/>
        </w:rPr>
      </w:pPr>
      <w:r>
        <w:rPr>
          <w:rFonts w:hint="eastAsia" w:ascii="宋体" w:hAnsi="Times New Roman" w:eastAsia="宋体" w:cs="Times New Roman"/>
          <w:color w:val="000000"/>
          <w:kern w:val="0"/>
          <w:sz w:val="21"/>
          <w:szCs w:val="20"/>
          <w:lang w:val="en-US" w:eastAsia="zh-CN" w:bidi="ar-SA"/>
        </w:rPr>
        <w:t>地理标志产品樟树黄栀子产地范围内生产者按照本文件生产并符合本文件要求的产品，如需使用“地理标志产品专用标志”，需向樟树市知识产权行政主管部门提出申请，经省级知识产权行政主管部门初审合格，上报国家知识产权局核准后，方可使用樟树黄栀子“地理标志产品专用标志”，地理标志专用标志的使用应符合地理标志专用标志相关管理要求。</w:t>
      </w:r>
    </w:p>
    <w:p w14:paraId="7270F0E2">
      <w:pPr>
        <w:pStyle w:val="54"/>
        <w:numPr>
          <w:ilvl w:val="0"/>
          <w:numId w:val="0"/>
        </w:numPr>
        <w:rPr>
          <w:rFonts w:hint="eastAsia"/>
          <w:color w:val="000000"/>
        </w:rPr>
      </w:pPr>
      <w:r>
        <w:rPr>
          <w:rFonts w:hint="eastAsia"/>
          <w:color w:val="000000"/>
        </w:rPr>
        <w:t>8.1.</w:t>
      </w:r>
      <w:r>
        <w:rPr>
          <w:rFonts w:hint="eastAsia"/>
          <w:color w:val="000000"/>
          <w:lang w:val="en-US" w:eastAsia="zh-CN"/>
        </w:rPr>
        <w:t>3</w:t>
      </w:r>
      <w:r>
        <w:rPr>
          <w:rFonts w:hint="eastAsia"/>
          <w:color w:val="000000"/>
        </w:rPr>
        <w:t>标签</w:t>
      </w:r>
    </w:p>
    <w:p w14:paraId="74FB23AD">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产品应附标签，标明产品名称、生产单位名称、详细地址、生产日期、批号、保质期或保存期、净含量、产品标准号和商标等内容，标签要醒目、整齐，字迹应清晰、完整、准确。</w:t>
      </w:r>
    </w:p>
    <w:bookmarkEnd w:id="42"/>
    <w:p w14:paraId="3B431797">
      <w:pPr>
        <w:pStyle w:val="54"/>
        <w:numPr>
          <w:ilvl w:val="0"/>
          <w:numId w:val="0"/>
        </w:numPr>
        <w:ind w:left="0" w:leftChars="0" w:firstLine="0" w:firstLineChars="0"/>
        <w:rPr>
          <w:rFonts w:hint="eastAsia"/>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8.2　</w:t>
      </w:r>
      <w:r>
        <w:rPr>
          <w:rFonts w:hint="eastAsia"/>
          <w:color w:val="000000"/>
        </w:rPr>
        <w:t>包装</w:t>
      </w:r>
    </w:p>
    <w:p w14:paraId="62537A1D">
      <w:pPr>
        <w:widowControl/>
        <w:tabs>
          <w:tab w:val="center" w:pos="4201"/>
          <w:tab w:val="right" w:leader="dot" w:pos="9298"/>
        </w:tabs>
        <w:autoSpaceDE w:val="0"/>
        <w:autoSpaceDN w:val="0"/>
        <w:ind w:firstLine="420" w:firstLineChars="200"/>
        <w:rPr>
          <w:rFonts w:hint="eastAsia" w:ascii="宋体"/>
          <w:strike/>
          <w:color w:val="000000"/>
          <w:kern w:val="0"/>
          <w:szCs w:val="20"/>
        </w:rPr>
      </w:pPr>
      <w:r>
        <w:rPr>
          <w:rFonts w:hint="eastAsia" w:ascii="宋体"/>
          <w:color w:val="000000"/>
          <w:kern w:val="0"/>
          <w:szCs w:val="20"/>
        </w:rPr>
        <w:t>包装应符合SB/T 11182要求。</w:t>
      </w:r>
    </w:p>
    <w:p w14:paraId="62F72B75">
      <w:pPr>
        <w:pStyle w:val="54"/>
        <w:numPr>
          <w:ilvl w:val="0"/>
          <w:numId w:val="0"/>
        </w:numPr>
        <w:ind w:left="0" w:leftChars="0" w:firstLine="0" w:firstLineChars="0"/>
        <w:rPr>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8.3　</w:t>
      </w:r>
      <w:r>
        <w:rPr>
          <w:rFonts w:hint="eastAsia"/>
          <w:color w:val="000000"/>
        </w:rPr>
        <w:t>贮藏</w:t>
      </w:r>
    </w:p>
    <w:p w14:paraId="6BA31802">
      <w:pPr>
        <w:pStyle w:val="22"/>
        <w:rPr>
          <w:rFonts w:hint="eastAsia"/>
          <w:color w:val="000000"/>
        </w:rPr>
      </w:pPr>
      <w:r>
        <w:rPr>
          <w:rFonts w:hint="eastAsia"/>
          <w:color w:val="000000"/>
        </w:rPr>
        <w:t>包装后的药材应置于室内阴凉干燥的仓库贮藏，并防潮。也可采用现代气调贮藏方法，包装或库内充氮或二氧化碳。定期检查，防止虫蛀、霉变、腐烂等的发生。不同批次</w:t>
      </w:r>
      <w:r>
        <w:rPr>
          <w:rFonts w:hint="eastAsia"/>
          <w:color w:val="000000"/>
          <w:lang w:eastAsia="zh-CN"/>
        </w:rPr>
        <w:t>产品</w:t>
      </w:r>
      <w:r>
        <w:rPr>
          <w:rFonts w:hint="eastAsia"/>
          <w:color w:val="000000"/>
        </w:rPr>
        <w:t>分区存放。禁止磷化铝和二氧化硫熏蒸。</w:t>
      </w:r>
    </w:p>
    <w:p w14:paraId="71ECB0AA">
      <w:pPr>
        <w:pStyle w:val="54"/>
        <w:numPr>
          <w:ilvl w:val="0"/>
          <w:numId w:val="0"/>
        </w:numPr>
        <w:ind w:left="0" w:leftChars="0" w:firstLine="0" w:firstLineChars="0"/>
        <w:rPr>
          <w:rFonts w:hint="eastAsia"/>
          <w:color w:val="000000"/>
        </w:rPr>
      </w:pPr>
      <w:r>
        <w:rPr>
          <w:rFonts w:hint="eastAsia" w:ascii="黑体" w:hAnsi="Times New Roman" w:eastAsia="黑体" w:cs="Times New Roman"/>
          <w:b w:val="0"/>
          <w:bCs w:val="0"/>
          <w:i w:val="0"/>
          <w:iCs w:val="0"/>
          <w:caps w:val="0"/>
          <w:strike w:val="0"/>
          <w:dstrike w:val="0"/>
          <w:outline w:val="0"/>
          <w:shadow w:val="0"/>
          <w:emboss w:val="0"/>
          <w:imprint w:val="0"/>
          <w:vanish w:val="0"/>
          <w:color w:val="000000"/>
          <w:spacing w:val="0"/>
          <w:kern w:val="0"/>
          <w:position w:val="0"/>
          <w:sz w:val="21"/>
          <w:szCs w:val="21"/>
          <w:u w:val="none"/>
          <w:vertAlign w:val="baseline"/>
          <w:lang w:val="en-US" w:eastAsia="zh-CN" w:bidi="ar-SA"/>
        </w:rPr>
        <w:t>8.4　</w:t>
      </w:r>
      <w:r>
        <w:rPr>
          <w:rFonts w:hint="eastAsia"/>
          <w:color w:val="000000"/>
        </w:rPr>
        <w:t>运输</w:t>
      </w:r>
    </w:p>
    <w:bookmarkEnd w:id="37"/>
    <w:p w14:paraId="64E2EDDA">
      <w:pPr>
        <w:pStyle w:val="22"/>
        <w:rPr>
          <w:rFonts w:hint="eastAsia" w:ascii="Times New Roman"/>
          <w:color w:val="000000"/>
          <w:kern w:val="2"/>
          <w:szCs w:val="24"/>
        </w:rPr>
      </w:pPr>
      <w:r>
        <w:rPr>
          <w:rFonts w:hint="eastAsia" w:ascii="Times New Roman"/>
          <w:color w:val="000000"/>
          <w:kern w:val="2"/>
          <w:szCs w:val="24"/>
        </w:rPr>
        <w:t>运输工具或容器应具有较好的通气性，以保持干燥。尽量缩短运输时间。不得与其他有毒、有害物质混装运输。运输期间防止发生混淆、污染、异物混入、包装破损、雨雪淋湿等。</w:t>
      </w:r>
    </w:p>
    <w:p w14:paraId="4D71482B">
      <w:pPr>
        <w:pStyle w:val="54"/>
        <w:numPr>
          <w:ilvl w:val="0"/>
          <w:numId w:val="0"/>
        </w:numPr>
        <w:ind w:left="0" w:leftChars="0" w:firstLine="0" w:firstLineChars="0"/>
        <w:rPr>
          <w:rFonts w:hint="eastAsia"/>
          <w:color w:val="000000"/>
          <w:lang w:eastAsia="zh-CN"/>
        </w:rPr>
      </w:pPr>
      <w:r>
        <w:rPr>
          <w:rFonts w:hint="eastAsia"/>
          <w:color w:val="000000"/>
          <w:lang w:val="en-US" w:eastAsia="zh-CN"/>
        </w:rPr>
        <w:t>8.5　</w:t>
      </w:r>
      <w:r>
        <w:rPr>
          <w:rFonts w:hint="eastAsia"/>
          <w:color w:val="000000"/>
          <w:lang w:eastAsia="zh-CN"/>
        </w:rPr>
        <w:t>追溯管理</w:t>
      </w:r>
    </w:p>
    <w:p w14:paraId="5F822126">
      <w:pPr>
        <w:pStyle w:val="22"/>
        <w:rPr>
          <w:rFonts w:hint="eastAsia" w:ascii="Times New Roman"/>
          <w:color w:val="000000"/>
          <w:kern w:val="2"/>
          <w:szCs w:val="24"/>
          <w:lang w:eastAsia="zh-CN"/>
        </w:rPr>
      </w:pPr>
      <w:r>
        <w:rPr>
          <w:rFonts w:hint="eastAsia" w:ascii="Times New Roman"/>
          <w:color w:val="000000"/>
          <w:kern w:val="2"/>
          <w:szCs w:val="24"/>
          <w:lang w:eastAsia="zh-CN"/>
        </w:rPr>
        <w:t>生产经营主体宜建立产品质量追溯系统，记录种植、加工、贮藏、运输等生产全过程的关键信息，相关信息保留3年以上。</w:t>
      </w:r>
    </w:p>
    <w:p w14:paraId="7DF52B9D">
      <w:pPr>
        <w:pStyle w:val="22"/>
        <w:rPr>
          <w:rFonts w:hint="eastAsia" w:ascii="Times New Roman"/>
          <w:color w:val="000000"/>
          <w:kern w:val="2"/>
          <w:szCs w:val="24"/>
        </w:rPr>
      </w:pPr>
    </w:p>
    <w:p w14:paraId="33337D03">
      <w:pPr>
        <w:pStyle w:val="125"/>
        <w:numPr>
          <w:ilvl w:val="0"/>
          <w:numId w:val="0"/>
        </w:numPr>
        <w:jc w:val="both"/>
        <w:rPr>
          <w:color w:val="000000"/>
        </w:rPr>
      </w:pPr>
    </w:p>
    <w:p w14:paraId="69EAFB65">
      <w:pPr>
        <w:pStyle w:val="49"/>
        <w:numPr>
          <w:ilvl w:val="0"/>
          <w:numId w:val="0"/>
        </w:numPr>
        <w:jc w:val="both"/>
        <w:rPr>
          <w:color w:val="000000"/>
        </w:rPr>
      </w:pPr>
    </w:p>
    <w:p w14:paraId="02E91F36">
      <w:pPr>
        <w:pStyle w:val="86"/>
        <w:numPr>
          <w:ilvl w:val="0"/>
          <w:numId w:val="0"/>
        </w:numPr>
        <w:ind w:left="0" w:leftChars="0" w:firstLine="0" w:firstLineChars="0"/>
        <w:rPr>
          <w:rFonts w:hint="eastAsia"/>
          <w:color w:val="000000"/>
        </w:rPr>
      </w:pPr>
      <w:r>
        <w:rPr>
          <w:rFonts w:hint="eastAsia" w:ascii="黑体" w:hAnsi="Times New Roman" w:eastAsia="黑体"/>
          <w:b w:val="0"/>
          <w:i w:val="0"/>
          <w:color w:val="000000"/>
          <w:spacing w:val="0"/>
          <w:w w:val="100"/>
          <w:kern w:val="0"/>
          <w:sz w:val="21"/>
          <w:szCs w:val="20"/>
          <w:lang w:val="en-US" w:eastAsia="zh-CN" w:bidi="ar-SA"/>
        </w:rPr>
        <w:t>附　录　A</w:t>
      </w:r>
      <w:r>
        <w:rPr>
          <w:color w:val="000000"/>
        </w:rPr>
        <w:br w:type="textWrapping"/>
      </w:r>
      <w:bookmarkStart w:id="43" w:name="_Toc66282454"/>
      <w:r>
        <w:rPr>
          <w:rFonts w:hint="eastAsia"/>
          <w:color w:val="000000"/>
        </w:rPr>
        <w:t>（规范性）</w:t>
      </w:r>
      <w:r>
        <w:rPr>
          <w:color w:val="000000"/>
        </w:rPr>
        <w:br w:type="textWrapping"/>
      </w:r>
      <w:r>
        <w:rPr>
          <w:rFonts w:hint="eastAsia"/>
          <w:color w:val="000000"/>
        </w:rPr>
        <w:t>樟树黄栀子地理标志产品保护范围</w:t>
      </w:r>
      <w:bookmarkEnd w:id="43"/>
    </w:p>
    <w:p w14:paraId="39693BBA">
      <w:pPr>
        <w:pStyle w:val="22"/>
        <w:ind w:firstLine="0" w:firstLineChars="0"/>
        <w:rPr>
          <w:rFonts w:hint="eastAsia" w:eastAsia="宋体"/>
          <w:color w:val="000000"/>
          <w:lang w:eastAsia="zh-CN"/>
        </w:rPr>
      </w:pPr>
      <w:r>
        <w:rPr>
          <w:rFonts w:hint="eastAsia"/>
          <w:color w:val="000000"/>
          <w:lang w:eastAsia="zh-CN"/>
        </w:rPr>
        <w:t>樟树黄栀子地理标志产品保护范围见下图：</w:t>
      </w:r>
    </w:p>
    <w:p w14:paraId="0B3A372C">
      <w:pPr>
        <w:pStyle w:val="22"/>
        <w:ind w:firstLine="0" w:firstLineChars="0"/>
        <w:rPr>
          <w:rFonts w:hint="eastAsia" w:eastAsia="宋体"/>
          <w:lang w:eastAsia="zh-CN"/>
        </w:rPr>
      </w:pPr>
      <w:r>
        <w:rPr>
          <w:rFonts w:hint="eastAsia" w:eastAsia="宋体"/>
          <w:lang w:eastAsia="zh-CN"/>
        </w:rPr>
        <w:drawing>
          <wp:inline distT="0" distB="0" distL="114300" distR="114300">
            <wp:extent cx="5927725" cy="4110990"/>
            <wp:effectExtent l="0" t="0" r="15875" b="3810"/>
            <wp:docPr id="7" name="图片 2"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未标题-1"/>
                    <pic:cNvPicPr>
                      <a:picLocks noChangeAspect="1"/>
                    </pic:cNvPicPr>
                  </pic:nvPicPr>
                  <pic:blipFill>
                    <a:blip r:embed="rId8">
                      <a:lum contrast="6000"/>
                    </a:blip>
                    <a:stretch>
                      <a:fillRect/>
                    </a:stretch>
                  </pic:blipFill>
                  <pic:spPr>
                    <a:xfrm>
                      <a:off x="0" y="0"/>
                      <a:ext cx="5927725" cy="4110990"/>
                    </a:xfrm>
                    <a:prstGeom prst="rect">
                      <a:avLst/>
                    </a:prstGeom>
                    <a:noFill/>
                    <a:ln>
                      <a:noFill/>
                    </a:ln>
                  </pic:spPr>
                </pic:pic>
              </a:graphicData>
            </a:graphic>
          </wp:inline>
        </w:drawing>
      </w:r>
    </w:p>
    <w:p w14:paraId="42284134">
      <w:pPr>
        <w:pStyle w:val="22"/>
        <w:ind w:firstLine="0" w:firstLineChars="0"/>
        <w:jc w:val="center"/>
        <w:rPr>
          <w:rFonts w:hint="default" w:eastAsia="宋体"/>
          <w:lang w:val="en-US" w:eastAsia="zh-CN"/>
        </w:rPr>
      </w:pPr>
      <w:r>
        <w:rPr>
          <w:rFonts w:hint="eastAsia" w:eastAsia="宋体"/>
          <w:lang w:eastAsia="zh-CN"/>
        </w:rPr>
        <w:t>图</w:t>
      </w:r>
      <w:r>
        <w:rPr>
          <w:rFonts w:hint="eastAsia" w:eastAsia="宋体"/>
          <w:lang w:val="en-US" w:eastAsia="zh-CN"/>
        </w:rPr>
        <w:t>A.1  樟树黄栀子地理标志产品保护范围</w:t>
      </w:r>
    </w:p>
    <w:p w14:paraId="56387B30">
      <w:pPr>
        <w:pStyle w:val="49"/>
        <w:numPr>
          <w:ilvl w:val="0"/>
          <w:numId w:val="0"/>
        </w:numPr>
        <w:jc w:val="both"/>
        <w:rPr>
          <w:color w:val="000000"/>
        </w:rPr>
      </w:pPr>
    </w:p>
    <w:p w14:paraId="75836D32">
      <w:pPr>
        <w:pStyle w:val="22"/>
        <w:rPr>
          <w:color w:val="000000"/>
        </w:rPr>
      </w:pPr>
    </w:p>
    <w:p w14:paraId="1A08AC36">
      <w:pPr>
        <w:pStyle w:val="22"/>
        <w:rPr>
          <w:color w:val="000000"/>
        </w:rPr>
      </w:pPr>
    </w:p>
    <w:p w14:paraId="6C8F26FE">
      <w:pPr>
        <w:pStyle w:val="22"/>
        <w:rPr>
          <w:color w:val="000000"/>
        </w:rPr>
      </w:pPr>
    </w:p>
    <w:p w14:paraId="70B726E8">
      <w:pPr>
        <w:pStyle w:val="22"/>
        <w:rPr>
          <w:color w:val="000000"/>
        </w:rPr>
      </w:pPr>
    </w:p>
    <w:p w14:paraId="2CDDA4AE">
      <w:pPr>
        <w:pStyle w:val="22"/>
        <w:rPr>
          <w:color w:val="000000"/>
        </w:rPr>
      </w:pPr>
    </w:p>
    <w:p w14:paraId="7ECBE636">
      <w:pPr>
        <w:pStyle w:val="22"/>
        <w:rPr>
          <w:color w:val="000000"/>
        </w:rPr>
      </w:pPr>
    </w:p>
    <w:p w14:paraId="67F1A62B">
      <w:pPr>
        <w:pStyle w:val="22"/>
        <w:rPr>
          <w:color w:val="000000"/>
        </w:rPr>
      </w:pPr>
    </w:p>
    <w:p w14:paraId="058F0BD6">
      <w:pPr>
        <w:pStyle w:val="22"/>
        <w:rPr>
          <w:color w:val="000000"/>
        </w:rPr>
      </w:pPr>
    </w:p>
    <w:p w14:paraId="1910C7E6">
      <w:pPr>
        <w:pStyle w:val="22"/>
        <w:rPr>
          <w:color w:val="000000"/>
        </w:rPr>
      </w:pPr>
    </w:p>
    <w:p w14:paraId="73A0DEFB">
      <w:pPr>
        <w:pStyle w:val="86"/>
        <w:numPr>
          <w:ilvl w:val="0"/>
          <w:numId w:val="0"/>
        </w:numPr>
        <w:ind w:left="0" w:leftChars="0" w:firstLine="0" w:firstLineChars="0"/>
        <w:rPr>
          <w:rFonts w:hint="eastAsia"/>
          <w:color w:val="000000"/>
        </w:rPr>
      </w:pPr>
      <w:r>
        <w:rPr>
          <w:rFonts w:hint="eastAsia" w:ascii="黑体" w:hAnsi="Times New Roman" w:eastAsia="黑体"/>
          <w:b w:val="0"/>
          <w:i w:val="0"/>
          <w:color w:val="000000"/>
          <w:spacing w:val="0"/>
          <w:w w:val="100"/>
          <w:kern w:val="0"/>
          <w:sz w:val="21"/>
          <w:szCs w:val="20"/>
          <w:lang w:val="en-US" w:eastAsia="zh-CN" w:bidi="ar-SA"/>
        </w:rPr>
        <w:t>附　录　B</w:t>
      </w:r>
      <w:r>
        <w:rPr>
          <w:color w:val="000000"/>
        </w:rPr>
        <w:br w:type="textWrapping"/>
      </w:r>
      <w:bookmarkStart w:id="44" w:name="_Toc66282455"/>
      <w:r>
        <w:rPr>
          <w:rFonts w:hint="eastAsia"/>
          <w:color w:val="000000"/>
        </w:rPr>
        <w:t>（资料性）</w:t>
      </w:r>
      <w:r>
        <w:rPr>
          <w:color w:val="000000"/>
        </w:rPr>
        <w:br w:type="textWrapping"/>
      </w:r>
      <w:r>
        <w:rPr>
          <w:rFonts w:hint="eastAsia"/>
          <w:color w:val="000000"/>
        </w:rPr>
        <w:t>樟树黄栀子栽培技术</w:t>
      </w:r>
      <w:bookmarkEnd w:id="44"/>
    </w:p>
    <w:p w14:paraId="15DE51DA">
      <w:pPr>
        <w:pStyle w:val="70"/>
        <w:numPr>
          <w:ilvl w:val="1"/>
          <w:numId w:val="0"/>
        </w:numPr>
        <w:spacing w:before="312" w:after="312"/>
        <w:ind w:left="0" w:leftChars="0" w:firstLine="0" w:firstLineChars="0"/>
        <w:rPr>
          <w:rFonts w:hint="eastAsia"/>
          <w:color w:val="000000"/>
        </w:rPr>
      </w:pPr>
      <w:r>
        <w:rPr>
          <w:rFonts w:hint="eastAsia" w:ascii="黑体" w:hAnsi="Times New Roman" w:eastAsia="黑体"/>
          <w:b w:val="0"/>
          <w:i w:val="0"/>
          <w:snapToGrid/>
          <w:color w:val="000000"/>
          <w:spacing w:val="0"/>
          <w:w w:val="100"/>
          <w:kern w:val="21"/>
          <w:sz w:val="21"/>
          <w:lang w:val="en-US" w:eastAsia="zh-CN" w:bidi="ar-SA"/>
        </w:rPr>
        <w:t>B.1　</w:t>
      </w:r>
      <w:r>
        <w:rPr>
          <w:rFonts w:hint="eastAsia"/>
          <w:color w:val="000000"/>
        </w:rPr>
        <w:t>选种与育苗</w:t>
      </w:r>
    </w:p>
    <w:p w14:paraId="41432BEC">
      <w:pPr>
        <w:pStyle w:val="69"/>
        <w:numPr>
          <w:ilvl w:val="2"/>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lang w:val="en-US" w:eastAsia="zh-CN" w:bidi="ar-SA"/>
        </w:rPr>
        <w:t>B.1.1　</w:t>
      </w:r>
      <w:r>
        <w:rPr>
          <w:rFonts w:hint="eastAsia"/>
          <w:color w:val="000000"/>
          <w:lang w:eastAsia="zh-CN"/>
        </w:rPr>
        <w:t>育苗方式</w:t>
      </w:r>
    </w:p>
    <w:p w14:paraId="0331F175">
      <w:pPr>
        <w:pStyle w:val="22"/>
        <w:rPr>
          <w:rFonts w:hint="eastAsia"/>
        </w:rPr>
      </w:pPr>
      <w:r>
        <w:rPr>
          <w:rFonts w:hint="eastAsia"/>
          <w:color w:val="000000"/>
          <w:lang w:eastAsia="zh-CN"/>
        </w:rPr>
        <w:t>播种育苗和扦插育苗。</w:t>
      </w:r>
    </w:p>
    <w:p w14:paraId="73FAD57C">
      <w:pPr>
        <w:pStyle w:val="69"/>
        <w:numPr>
          <w:ilvl w:val="2"/>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lang w:val="en-US" w:eastAsia="zh-CN" w:bidi="ar-SA"/>
        </w:rPr>
        <w:t>B.1.2　</w:t>
      </w:r>
      <w:r>
        <w:rPr>
          <w:rFonts w:hint="eastAsia"/>
          <w:color w:val="000000"/>
        </w:rPr>
        <w:t>选种</w:t>
      </w:r>
    </w:p>
    <w:p w14:paraId="3FF4878E">
      <w:pPr>
        <w:pStyle w:val="48"/>
        <w:numPr>
          <w:ilvl w:val="3"/>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szCs w:val="20"/>
          <w:lang w:val="en-US" w:eastAsia="zh-CN" w:bidi="ar-SA"/>
        </w:rPr>
        <w:t>B.1.2.1　</w:t>
      </w:r>
      <w:r>
        <w:rPr>
          <w:rFonts w:hint="eastAsia"/>
          <w:color w:val="000000"/>
        </w:rPr>
        <w:t>留种</w:t>
      </w:r>
    </w:p>
    <w:p w14:paraId="6645654C">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选择处于结果盛期的樟树本地优良栀子品种，宜树冠宽阔丰满、呈圆头形、枝长多呈簇状、且结果多、果体大的中壮龄树上采种。10月上旬，先将母树上的小果、病虫果摘除，待樟树黄栀子果实充分成熟时，采集果大、肉质厚，橙黄色或深红的鲜果留种。</w:t>
      </w:r>
    </w:p>
    <w:p w14:paraId="1000D49A">
      <w:pPr>
        <w:pStyle w:val="48"/>
        <w:numPr>
          <w:ilvl w:val="3"/>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szCs w:val="20"/>
          <w:lang w:val="en-US" w:eastAsia="zh-CN" w:bidi="ar-SA"/>
        </w:rPr>
        <w:t>B.1.2.2　</w:t>
      </w:r>
      <w:r>
        <w:rPr>
          <w:color w:val="000000"/>
        </w:rPr>
        <w:t>种子处理</w:t>
      </w:r>
    </w:p>
    <w:p w14:paraId="1E16E8F1">
      <w:pPr>
        <w:pStyle w:val="22"/>
        <w:rPr>
          <w:color w:val="000000"/>
        </w:rPr>
      </w:pPr>
      <w:r>
        <w:rPr>
          <w:color w:val="000000"/>
        </w:rPr>
        <w:t>播种前将果实去壳，浸入30</w:t>
      </w:r>
      <w:r>
        <w:rPr>
          <w:rFonts w:hint="eastAsia" w:hAnsi="宋体" w:cs="宋体"/>
          <w:color w:val="000000"/>
        </w:rPr>
        <w:t>℃</w:t>
      </w:r>
      <w:r>
        <w:rPr>
          <w:rFonts w:hint="eastAsia" w:hAnsi="宋体"/>
          <w:color w:val="000000"/>
        </w:rPr>
        <w:t>～</w:t>
      </w:r>
      <w:r>
        <w:rPr>
          <w:color w:val="000000"/>
        </w:rPr>
        <w:t>40</w:t>
      </w:r>
      <w:r>
        <w:rPr>
          <w:rFonts w:hint="eastAsia" w:hAnsi="宋体" w:cs="宋体"/>
          <w:color w:val="000000"/>
        </w:rPr>
        <w:t>℃</w:t>
      </w:r>
      <w:r>
        <w:rPr>
          <w:color w:val="000000"/>
        </w:rPr>
        <w:t>温水中0.5</w:t>
      </w:r>
      <w:r>
        <w:rPr>
          <w:rFonts w:hint="eastAsia"/>
          <w:color w:val="000000"/>
        </w:rPr>
        <w:t xml:space="preserve"> d</w:t>
      </w:r>
      <w:r>
        <w:rPr>
          <w:rFonts w:hint="eastAsia" w:hAnsi="宋体"/>
          <w:color w:val="000000"/>
        </w:rPr>
        <w:t>～</w:t>
      </w:r>
      <w:r>
        <w:rPr>
          <w:color w:val="000000"/>
        </w:rPr>
        <w:t>1 d，揉搓后去杂质及瘪粒，捞出沉底的饱满种子，稍晾干后拌草木灰待播</w:t>
      </w:r>
      <w:r>
        <w:rPr>
          <w:rFonts w:hint="eastAsia"/>
          <w:color w:val="000000"/>
        </w:rPr>
        <w:t>。或播前将精选种子放入浓度0.5%～1.0%的硫酸铜溶液中浸3h～4h，或将种子放入0.5%的高锰酸钾溶液中浸种2h后，捞出种子，用清水冲洗2次，滤干水，再将种子放入30℃～35℃温水中浸24h后，取出种子滤干水即可播种。</w:t>
      </w:r>
    </w:p>
    <w:p w14:paraId="049E104C">
      <w:pPr>
        <w:pStyle w:val="48"/>
        <w:numPr>
          <w:ilvl w:val="3"/>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szCs w:val="20"/>
          <w:lang w:val="en-US" w:eastAsia="zh-CN" w:bidi="ar-SA"/>
        </w:rPr>
        <w:t>B.1.3　</w:t>
      </w:r>
      <w:r>
        <w:rPr>
          <w:rFonts w:hint="eastAsia"/>
          <w:color w:val="000000"/>
          <w:lang w:eastAsia="zh-CN"/>
        </w:rPr>
        <w:t>苗床准备</w:t>
      </w:r>
    </w:p>
    <w:p w14:paraId="3283D015">
      <w:pPr>
        <w:pStyle w:val="48"/>
        <w:numPr>
          <w:ilvl w:val="3"/>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szCs w:val="20"/>
          <w:lang w:val="en-US" w:eastAsia="zh-CN" w:bidi="ar-SA"/>
        </w:rPr>
        <w:t>B.1.</w:t>
      </w:r>
      <w:r>
        <w:rPr>
          <w:rFonts w:hint="eastAsia" w:hAnsi="Times New Roman"/>
          <w:b w:val="0"/>
          <w:i w:val="0"/>
          <w:color w:val="000000"/>
          <w:kern w:val="21"/>
          <w:sz w:val="21"/>
          <w:szCs w:val="20"/>
          <w:lang w:val="en-US" w:eastAsia="zh-CN" w:bidi="ar-SA"/>
        </w:rPr>
        <w:t>3.1</w:t>
      </w:r>
      <w:r>
        <w:rPr>
          <w:rFonts w:hint="eastAsia" w:ascii="黑体" w:hAnsi="Times New Roman" w:eastAsia="黑体"/>
          <w:b w:val="0"/>
          <w:i w:val="0"/>
          <w:color w:val="000000"/>
          <w:kern w:val="21"/>
          <w:sz w:val="21"/>
          <w:szCs w:val="20"/>
          <w:lang w:val="en-US" w:eastAsia="zh-CN" w:bidi="ar-SA"/>
        </w:rPr>
        <w:t>　</w:t>
      </w:r>
      <w:r>
        <w:rPr>
          <w:rFonts w:hint="eastAsia"/>
          <w:color w:val="000000"/>
        </w:rPr>
        <w:t>圃地选择</w:t>
      </w:r>
    </w:p>
    <w:p w14:paraId="74C6FF9D">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选择土层深厚、土质疏松、水肥条件较好、排灌方便的地块作圃地。</w:t>
      </w:r>
    </w:p>
    <w:p w14:paraId="682F0CB0">
      <w:pPr>
        <w:pStyle w:val="48"/>
        <w:numPr>
          <w:ilvl w:val="3"/>
          <w:numId w:val="0"/>
        </w:numPr>
        <w:spacing w:before="156" w:after="156"/>
        <w:ind w:left="0" w:leftChars="0" w:firstLine="0" w:firstLineChars="0"/>
        <w:rPr>
          <w:rFonts w:hint="eastAsia" w:eastAsia="黑体"/>
          <w:color w:val="000000"/>
          <w:lang w:eastAsia="zh-CN"/>
        </w:rPr>
      </w:pPr>
      <w:r>
        <w:rPr>
          <w:rFonts w:hint="eastAsia" w:ascii="黑体" w:hAnsi="Times New Roman" w:eastAsia="黑体"/>
          <w:b w:val="0"/>
          <w:i w:val="0"/>
          <w:color w:val="000000"/>
          <w:kern w:val="21"/>
          <w:sz w:val="21"/>
          <w:szCs w:val="20"/>
          <w:lang w:val="en-US" w:eastAsia="zh-CN" w:bidi="ar-SA"/>
        </w:rPr>
        <w:t>B.1.</w:t>
      </w:r>
      <w:r>
        <w:rPr>
          <w:rFonts w:hint="eastAsia" w:hAnsi="Times New Roman"/>
          <w:b w:val="0"/>
          <w:i w:val="0"/>
          <w:color w:val="000000"/>
          <w:kern w:val="21"/>
          <w:sz w:val="21"/>
          <w:szCs w:val="20"/>
          <w:lang w:val="en-US" w:eastAsia="zh-CN" w:bidi="ar-SA"/>
        </w:rPr>
        <w:t xml:space="preserve">3.2  </w:t>
      </w:r>
      <w:r>
        <w:rPr>
          <w:rFonts w:hint="eastAsia"/>
          <w:color w:val="000000"/>
          <w:lang w:eastAsia="zh-CN"/>
        </w:rPr>
        <w:t>整地施肥</w:t>
      </w:r>
    </w:p>
    <w:p w14:paraId="7406B16D">
      <w:pPr>
        <w:pStyle w:val="22"/>
        <w:rPr>
          <w:rFonts w:hint="eastAsia"/>
          <w:color w:val="000000"/>
        </w:rPr>
      </w:pPr>
      <w:r>
        <w:rPr>
          <w:rFonts w:hint="eastAsia"/>
          <w:color w:val="000000"/>
        </w:rPr>
        <w:t>一般圃地采取三犁三耙，深翻土壤20</w:t>
      </w:r>
      <w:r>
        <w:rPr>
          <w:color w:val="000000"/>
        </w:rPr>
        <w:t>cm</w:t>
      </w:r>
      <w:r>
        <w:rPr>
          <w:rFonts w:hint="eastAsia"/>
          <w:color w:val="000000"/>
        </w:rPr>
        <w:t>～30cm，在最后1次犁前施有机肥</w:t>
      </w:r>
      <w:r>
        <w:rPr>
          <w:rFonts w:hint="eastAsia"/>
          <w:color w:val="000000"/>
          <w:lang w:val="en-US" w:eastAsia="zh-CN"/>
        </w:rPr>
        <w:t>3</w:t>
      </w:r>
      <w:r>
        <w:rPr>
          <w:rFonts w:hint="eastAsia"/>
          <w:color w:val="000000"/>
        </w:rPr>
        <w:t>000kg/</w:t>
      </w:r>
      <w:r>
        <w:rPr>
          <w:color w:val="000000"/>
        </w:rPr>
        <w:t>667 m</w:t>
      </w:r>
      <w:r>
        <w:rPr>
          <w:color w:val="000000"/>
          <w:vertAlign w:val="superscript"/>
        </w:rPr>
        <w:t>2</w:t>
      </w:r>
      <w:r>
        <w:rPr>
          <w:rFonts w:hint="eastAsia"/>
          <w:color w:val="000000"/>
        </w:rPr>
        <w:t>、钙镁磷</w:t>
      </w:r>
      <w:r>
        <w:rPr>
          <w:rFonts w:hint="eastAsia"/>
          <w:color w:val="000000"/>
          <w:lang w:val="en-US" w:eastAsia="zh-CN"/>
        </w:rPr>
        <w:t xml:space="preserve">    </w:t>
      </w:r>
      <w:r>
        <w:rPr>
          <w:rFonts w:hint="eastAsia"/>
          <w:color w:val="000000"/>
        </w:rPr>
        <w:t>50</w:t>
      </w:r>
      <w:r>
        <w:rPr>
          <w:color w:val="000000"/>
        </w:rPr>
        <w:t xml:space="preserve"> </w:t>
      </w:r>
      <w:r>
        <w:rPr>
          <w:rFonts w:hint="eastAsia"/>
          <w:color w:val="000000"/>
        </w:rPr>
        <w:t>kg/66</w:t>
      </w:r>
      <w:r>
        <w:rPr>
          <w:color w:val="000000"/>
        </w:rPr>
        <w:t xml:space="preserve">7 </w:t>
      </w:r>
      <w:r>
        <w:rPr>
          <w:rFonts w:hint="eastAsia"/>
          <w:color w:val="000000"/>
        </w:rPr>
        <w:t>m</w:t>
      </w:r>
      <w:r>
        <w:rPr>
          <w:color w:val="000000"/>
          <w:vertAlign w:val="superscript"/>
        </w:rPr>
        <w:t>2</w:t>
      </w:r>
      <w:r>
        <w:rPr>
          <w:rFonts w:hint="eastAsia"/>
          <w:color w:val="000000"/>
        </w:rPr>
        <w:t>，均匀撒在圃地，进行犁、耙，使肥料均匀分布土层中。最后做成高20</w:t>
      </w:r>
      <w:r>
        <w:rPr>
          <w:color w:val="000000"/>
        </w:rPr>
        <w:t>cm</w:t>
      </w:r>
      <w:r>
        <w:rPr>
          <w:rFonts w:hint="eastAsia"/>
          <w:color w:val="000000"/>
        </w:rPr>
        <w:t>～25cm，宽1.0</w:t>
      </w:r>
      <w:r>
        <w:rPr>
          <w:color w:val="000000"/>
        </w:rPr>
        <w:t>m</w:t>
      </w:r>
      <w:r>
        <w:rPr>
          <w:rFonts w:hint="eastAsia"/>
          <w:color w:val="000000"/>
        </w:rPr>
        <w:t>～1.2m的苗床，开好排水沟。播种前</w:t>
      </w:r>
      <w:r>
        <w:rPr>
          <w:color w:val="000000"/>
        </w:rPr>
        <w:t>7d</w:t>
      </w:r>
      <w:r>
        <w:rPr>
          <w:rFonts w:hint="eastAsia"/>
          <w:color w:val="000000"/>
        </w:rPr>
        <w:t>～</w:t>
      </w:r>
      <w:r>
        <w:rPr>
          <w:color w:val="000000"/>
        </w:rPr>
        <w:t>10d</w:t>
      </w:r>
      <w:r>
        <w:rPr>
          <w:rFonts w:hint="eastAsia"/>
          <w:color w:val="000000"/>
        </w:rPr>
        <w:t xml:space="preserve">可用2.0%的硫酸亚铁或0.5%的福尔马林或3.0%的生石灰水溶液进行土壤消毒。 </w:t>
      </w:r>
    </w:p>
    <w:p w14:paraId="5009E226">
      <w:pPr>
        <w:pStyle w:val="69"/>
        <w:numPr>
          <w:ilvl w:val="2"/>
          <w:numId w:val="0"/>
        </w:numPr>
        <w:spacing w:before="156" w:after="156"/>
        <w:ind w:left="0" w:leftChars="0" w:firstLine="0" w:firstLineChars="0"/>
        <w:rPr>
          <w:rFonts w:hint="eastAsia" w:eastAsia="黑体"/>
          <w:color w:val="000000"/>
          <w:lang w:eastAsia="zh-CN"/>
        </w:rPr>
      </w:pPr>
      <w:r>
        <w:rPr>
          <w:rFonts w:hint="eastAsia" w:ascii="黑体" w:hAnsi="Times New Roman" w:eastAsia="黑体"/>
          <w:b w:val="0"/>
          <w:i w:val="0"/>
          <w:color w:val="000000"/>
          <w:kern w:val="21"/>
          <w:sz w:val="21"/>
          <w:lang w:val="en-US" w:eastAsia="zh-CN" w:bidi="ar-SA"/>
        </w:rPr>
        <w:t>B.1.3</w:t>
      </w:r>
      <w:r>
        <w:rPr>
          <w:rFonts w:hint="eastAsia" w:hAnsi="Times New Roman"/>
          <w:b w:val="0"/>
          <w:i w:val="0"/>
          <w:color w:val="000000"/>
          <w:kern w:val="21"/>
          <w:sz w:val="21"/>
          <w:lang w:val="en-US" w:eastAsia="zh-CN" w:bidi="ar-SA"/>
        </w:rPr>
        <w:t>.3</w:t>
      </w:r>
      <w:r>
        <w:rPr>
          <w:rFonts w:hint="eastAsia" w:ascii="黑体" w:hAnsi="Times New Roman" w:eastAsia="黑体"/>
          <w:b w:val="0"/>
          <w:i w:val="0"/>
          <w:color w:val="000000"/>
          <w:kern w:val="21"/>
          <w:sz w:val="21"/>
          <w:lang w:val="en-US" w:eastAsia="zh-CN" w:bidi="ar-SA"/>
        </w:rPr>
        <w:t>　</w:t>
      </w:r>
      <w:r>
        <w:rPr>
          <w:rFonts w:hint="eastAsia"/>
          <w:color w:val="000000"/>
        </w:rPr>
        <w:t>播种</w:t>
      </w:r>
      <w:r>
        <w:rPr>
          <w:rFonts w:hint="eastAsia"/>
          <w:color w:val="000000"/>
          <w:lang w:eastAsia="zh-CN"/>
        </w:rPr>
        <w:t>育苗</w:t>
      </w:r>
    </w:p>
    <w:p w14:paraId="19AE4078">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val="en-US" w:eastAsia="zh-CN" w:bidi="ar-SA"/>
        </w:rPr>
        <w:t>B.1.3</w:t>
      </w:r>
      <w:r>
        <w:rPr>
          <w:rFonts w:hint="eastAsia" w:hAnsi="Times New Roman"/>
          <w:b w:val="0"/>
          <w:i w:val="0"/>
          <w:color w:val="000000"/>
          <w:kern w:val="21"/>
          <w:sz w:val="21"/>
          <w:szCs w:val="20"/>
          <w:lang w:val="en-US" w:eastAsia="zh-CN" w:bidi="ar-SA"/>
        </w:rPr>
        <w:t>.3</w:t>
      </w:r>
      <w:r>
        <w:rPr>
          <w:rFonts w:hint="eastAsia" w:ascii="黑体" w:hAnsi="Times New Roman" w:eastAsia="黑体"/>
          <w:b w:val="0"/>
          <w:i w:val="0"/>
          <w:color w:val="000000"/>
          <w:kern w:val="21"/>
          <w:sz w:val="21"/>
          <w:szCs w:val="20"/>
          <w:lang w:val="en-US" w:eastAsia="zh-CN" w:bidi="ar-SA"/>
        </w:rPr>
        <w:t>.1　</w:t>
      </w:r>
      <w:r>
        <w:rPr>
          <w:rFonts w:hint="eastAsia"/>
          <w:color w:val="000000"/>
        </w:rPr>
        <w:t>播种时间</w:t>
      </w:r>
    </w:p>
    <w:p w14:paraId="6A9B0B8D">
      <w:pPr>
        <w:pStyle w:val="22"/>
        <w:rPr>
          <w:color w:val="000000"/>
        </w:rPr>
      </w:pPr>
      <w:r>
        <w:rPr>
          <w:color w:val="000000"/>
        </w:rPr>
        <w:t>2</w:t>
      </w:r>
      <w:r>
        <w:rPr>
          <w:rFonts w:hint="eastAsia"/>
          <w:color w:val="000000"/>
        </w:rPr>
        <w:t>月上旬</w:t>
      </w:r>
      <w:r>
        <w:rPr>
          <w:rFonts w:hint="eastAsia"/>
          <w:color w:val="000000"/>
          <w:lang w:eastAsia="zh-CN"/>
        </w:rPr>
        <w:t>至</w:t>
      </w:r>
      <w:r>
        <w:rPr>
          <w:rFonts w:hint="eastAsia"/>
          <w:color w:val="000000"/>
        </w:rPr>
        <w:t>3月中旬，也可1</w:t>
      </w:r>
      <w:r>
        <w:rPr>
          <w:color w:val="000000"/>
        </w:rPr>
        <w:t>1</w:t>
      </w:r>
      <w:r>
        <w:rPr>
          <w:rFonts w:hint="eastAsia"/>
          <w:color w:val="000000"/>
        </w:rPr>
        <w:t>月上旬</w:t>
      </w:r>
      <w:r>
        <w:rPr>
          <w:rFonts w:hint="eastAsia"/>
          <w:color w:val="000000"/>
          <w:lang w:eastAsia="zh-CN"/>
        </w:rPr>
        <w:t>至</w:t>
      </w:r>
      <w:r>
        <w:rPr>
          <w:rFonts w:hint="eastAsia"/>
          <w:color w:val="000000"/>
        </w:rPr>
        <w:t>1</w:t>
      </w:r>
      <w:r>
        <w:rPr>
          <w:color w:val="000000"/>
        </w:rPr>
        <w:t>2</w:t>
      </w:r>
      <w:r>
        <w:rPr>
          <w:rFonts w:hint="eastAsia"/>
          <w:color w:val="000000"/>
        </w:rPr>
        <w:t>月中旬。</w:t>
      </w:r>
    </w:p>
    <w:p w14:paraId="4A8C332C">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val="en-US" w:eastAsia="zh-CN" w:bidi="ar-SA"/>
        </w:rPr>
        <w:t>B.1.3.</w:t>
      </w:r>
      <w:r>
        <w:rPr>
          <w:rFonts w:hint="eastAsia" w:hAnsi="Times New Roman"/>
          <w:b w:val="0"/>
          <w:i w:val="0"/>
          <w:color w:val="000000"/>
          <w:kern w:val="21"/>
          <w:sz w:val="21"/>
          <w:szCs w:val="20"/>
          <w:lang w:val="en-US" w:eastAsia="zh-CN" w:bidi="ar-SA"/>
        </w:rPr>
        <w:t>3.</w:t>
      </w:r>
      <w:r>
        <w:rPr>
          <w:rFonts w:hint="eastAsia" w:ascii="黑体" w:hAnsi="Times New Roman" w:eastAsia="黑体"/>
          <w:b w:val="0"/>
          <w:i w:val="0"/>
          <w:color w:val="000000"/>
          <w:kern w:val="21"/>
          <w:sz w:val="21"/>
          <w:szCs w:val="20"/>
          <w:lang w:val="en-US" w:eastAsia="zh-CN" w:bidi="ar-SA"/>
        </w:rPr>
        <w:t>2　</w:t>
      </w:r>
      <w:r>
        <w:rPr>
          <w:rFonts w:hint="eastAsia"/>
          <w:color w:val="000000"/>
        </w:rPr>
        <w:t>播种方法</w:t>
      </w:r>
    </w:p>
    <w:p w14:paraId="6B259768">
      <w:pPr>
        <w:pStyle w:val="124"/>
        <w:numPr>
          <w:ilvl w:val="0"/>
          <w:numId w:val="0"/>
        </w:numPr>
        <w:ind w:firstLine="420" w:firstLineChars="200"/>
        <w:rPr>
          <w:rFonts w:hint="eastAsia"/>
          <w:color w:val="000000"/>
        </w:rPr>
      </w:pPr>
      <w:r>
        <w:rPr>
          <w:rFonts w:hint="eastAsia"/>
          <w:color w:val="000000"/>
        </w:rPr>
        <w:t>在整好地的苗床上将苗床土压平，用经过细筛的黄心土均匀撒在苗床表层，黄心土厚1.5</w:t>
      </w:r>
      <w:r>
        <w:rPr>
          <w:color w:val="000000"/>
        </w:rPr>
        <w:t xml:space="preserve"> cm</w:t>
      </w:r>
      <w:r>
        <w:rPr>
          <w:rFonts w:hint="eastAsia"/>
          <w:color w:val="000000"/>
        </w:rPr>
        <w:t>～2.0</w:t>
      </w:r>
      <w:r>
        <w:rPr>
          <w:color w:val="000000"/>
        </w:rPr>
        <w:t xml:space="preserve"> </w:t>
      </w:r>
      <w:r>
        <w:rPr>
          <w:rFonts w:hint="eastAsia"/>
          <w:color w:val="000000"/>
        </w:rPr>
        <w:t>cm，然后将经过处理的种子用细土灰拌匀撒播在黄心土上，播种量2.5</w:t>
      </w:r>
      <w:r>
        <w:rPr>
          <w:color w:val="000000"/>
        </w:rPr>
        <w:t xml:space="preserve"> kg</w:t>
      </w:r>
      <w:r>
        <w:rPr>
          <w:rFonts w:hint="eastAsia"/>
          <w:color w:val="000000"/>
        </w:rPr>
        <w:t>/</w:t>
      </w:r>
      <w:r>
        <w:rPr>
          <w:color w:val="000000"/>
        </w:rPr>
        <w:t>667 m</w:t>
      </w:r>
      <w:r>
        <w:rPr>
          <w:color w:val="000000"/>
          <w:vertAlign w:val="superscript"/>
        </w:rPr>
        <w:t>2</w:t>
      </w:r>
      <w:r>
        <w:rPr>
          <w:rFonts w:hint="eastAsia"/>
          <w:color w:val="000000"/>
        </w:rPr>
        <w:t>～3</w:t>
      </w:r>
      <w:r>
        <w:rPr>
          <w:color w:val="000000"/>
        </w:rPr>
        <w:t xml:space="preserve"> </w:t>
      </w:r>
      <w:r>
        <w:rPr>
          <w:rFonts w:hint="eastAsia"/>
          <w:color w:val="000000"/>
        </w:rPr>
        <w:t>kg/</w:t>
      </w:r>
      <w:r>
        <w:rPr>
          <w:color w:val="000000"/>
        </w:rPr>
        <w:t>667 m</w:t>
      </w:r>
      <w:r>
        <w:rPr>
          <w:color w:val="000000"/>
          <w:vertAlign w:val="superscript"/>
        </w:rPr>
        <w:t>2</w:t>
      </w:r>
      <w:r>
        <w:rPr>
          <w:rFonts w:hint="eastAsia"/>
          <w:color w:val="000000"/>
        </w:rPr>
        <w:t>，再盖1层过筛的黄心土，以不见种子为度，最后盖上1层薄稻䓍。晴天要及时对圃地浇水或灌水，保持苗床湿润。经30</w:t>
      </w:r>
      <w:r>
        <w:rPr>
          <w:color w:val="000000"/>
        </w:rPr>
        <w:t>d</w:t>
      </w:r>
      <w:r>
        <w:rPr>
          <w:rFonts w:hint="eastAsia"/>
          <w:color w:val="000000"/>
        </w:rPr>
        <w:t>～40d即可出苗。待苗木出齐后，选择阴天或傍晚揭去覆盖物。</w:t>
      </w:r>
    </w:p>
    <w:p w14:paraId="5BAE62BC">
      <w:pPr>
        <w:pStyle w:val="124"/>
        <w:numPr>
          <w:ilvl w:val="0"/>
          <w:numId w:val="0"/>
        </w:numPr>
        <w:ind w:firstLine="420" w:firstLineChars="200"/>
        <w:rPr>
          <w:rFonts w:hint="eastAsia"/>
          <w:color w:val="000000"/>
        </w:rPr>
      </w:pPr>
    </w:p>
    <w:p w14:paraId="1F2EC725">
      <w:pPr>
        <w:pStyle w:val="48"/>
        <w:numPr>
          <w:ilvl w:val="3"/>
          <w:numId w:val="0"/>
        </w:numPr>
        <w:spacing w:before="156" w:after="156"/>
        <w:ind w:left="0" w:leftChars="0" w:firstLine="0" w:firstLineChars="0"/>
        <w:rPr>
          <w:rFonts w:hint="eastAsia" w:hAnsi="Times New Roman"/>
          <w:b w:val="0"/>
          <w:i w:val="0"/>
          <w:color w:val="000000"/>
          <w:kern w:val="21"/>
          <w:sz w:val="21"/>
          <w:szCs w:val="20"/>
          <w:lang w:val="en-US" w:eastAsia="zh-CN" w:bidi="ar-SA"/>
        </w:rPr>
      </w:pPr>
      <w:r>
        <w:rPr>
          <w:rFonts w:hint="eastAsia" w:ascii="黑体" w:hAnsi="Times New Roman" w:eastAsia="黑体"/>
          <w:b w:val="0"/>
          <w:i w:val="0"/>
          <w:color w:val="000000"/>
          <w:kern w:val="21"/>
          <w:sz w:val="21"/>
          <w:szCs w:val="20"/>
          <w:lang w:val="en-US" w:eastAsia="zh-CN" w:bidi="ar-SA"/>
        </w:rPr>
        <w:t>B.1.3.</w:t>
      </w:r>
      <w:r>
        <w:rPr>
          <w:rFonts w:hint="eastAsia" w:hAnsi="Times New Roman"/>
          <w:b w:val="0"/>
          <w:i w:val="0"/>
          <w:color w:val="000000"/>
          <w:kern w:val="21"/>
          <w:sz w:val="21"/>
          <w:szCs w:val="20"/>
          <w:lang w:val="en-US" w:eastAsia="zh-CN" w:bidi="ar-SA"/>
        </w:rPr>
        <w:t>4</w:t>
      </w:r>
      <w:r>
        <w:rPr>
          <w:rFonts w:hint="eastAsia" w:ascii="黑体" w:hAnsi="Times New Roman" w:eastAsia="黑体"/>
          <w:b w:val="0"/>
          <w:i w:val="0"/>
          <w:color w:val="000000"/>
          <w:kern w:val="21"/>
          <w:sz w:val="21"/>
          <w:szCs w:val="20"/>
          <w:lang w:val="en-US" w:eastAsia="zh-CN" w:bidi="ar-SA"/>
        </w:rPr>
        <w:t>　</w:t>
      </w:r>
      <w:r>
        <w:rPr>
          <w:rFonts w:hint="eastAsia" w:hAnsi="Times New Roman"/>
          <w:b w:val="0"/>
          <w:i w:val="0"/>
          <w:color w:val="000000"/>
          <w:kern w:val="21"/>
          <w:sz w:val="21"/>
          <w:szCs w:val="20"/>
          <w:lang w:val="en-US" w:eastAsia="zh-CN" w:bidi="ar-SA"/>
        </w:rPr>
        <w:t>扦插育苗</w:t>
      </w:r>
    </w:p>
    <w:p w14:paraId="55741A6C">
      <w:pPr>
        <w:pStyle w:val="48"/>
        <w:numPr>
          <w:ilvl w:val="3"/>
          <w:numId w:val="0"/>
        </w:numPr>
        <w:spacing w:before="156" w:after="156"/>
        <w:ind w:left="0" w:leftChars="0" w:firstLine="0" w:firstLineChars="0"/>
        <w:rPr>
          <w:rFonts w:hint="eastAsia" w:hAnsi="Times New Roman"/>
          <w:b w:val="0"/>
          <w:i w:val="0"/>
          <w:color w:val="000000"/>
          <w:kern w:val="21"/>
          <w:sz w:val="21"/>
          <w:szCs w:val="20"/>
          <w:lang w:val="en-US" w:eastAsia="zh-CN" w:bidi="ar-SA"/>
        </w:rPr>
      </w:pPr>
      <w:r>
        <w:rPr>
          <w:rFonts w:hint="eastAsia" w:ascii="黑体" w:hAnsi="Times New Roman" w:eastAsia="黑体"/>
          <w:b w:val="0"/>
          <w:i w:val="0"/>
          <w:color w:val="000000"/>
          <w:kern w:val="21"/>
          <w:sz w:val="21"/>
          <w:szCs w:val="20"/>
          <w:lang w:val="en-US" w:eastAsia="zh-CN" w:bidi="ar-SA"/>
        </w:rPr>
        <w:t>B.1.3.</w:t>
      </w:r>
      <w:r>
        <w:rPr>
          <w:rFonts w:hint="eastAsia" w:hAnsi="Times New Roman"/>
          <w:b w:val="0"/>
          <w:i w:val="0"/>
          <w:color w:val="000000"/>
          <w:kern w:val="21"/>
          <w:sz w:val="21"/>
          <w:szCs w:val="20"/>
          <w:lang w:val="en-US" w:eastAsia="zh-CN" w:bidi="ar-SA"/>
        </w:rPr>
        <w:t>4.1</w:t>
      </w:r>
      <w:r>
        <w:rPr>
          <w:rFonts w:hint="eastAsia" w:ascii="黑体" w:hAnsi="Times New Roman" w:eastAsia="黑体"/>
          <w:b w:val="0"/>
          <w:i w:val="0"/>
          <w:color w:val="000000"/>
          <w:kern w:val="21"/>
          <w:sz w:val="21"/>
          <w:szCs w:val="20"/>
          <w:lang w:val="en-US" w:eastAsia="zh-CN" w:bidi="ar-SA"/>
        </w:rPr>
        <w:t>　</w:t>
      </w:r>
      <w:r>
        <w:rPr>
          <w:rFonts w:hint="eastAsia" w:hAnsi="Times New Roman"/>
          <w:b w:val="0"/>
          <w:i w:val="0"/>
          <w:color w:val="000000"/>
          <w:kern w:val="21"/>
          <w:sz w:val="21"/>
          <w:szCs w:val="20"/>
          <w:lang w:val="en-US" w:eastAsia="zh-CN" w:bidi="ar-SA"/>
        </w:rPr>
        <w:t>插条准备</w:t>
      </w:r>
    </w:p>
    <w:p w14:paraId="7CE4FE51">
      <w:pPr>
        <w:pStyle w:val="22"/>
        <w:rPr>
          <w:rFonts w:hint="default" w:eastAsia="宋体"/>
          <w:lang w:val="en-US" w:eastAsia="zh-CN"/>
        </w:rPr>
      </w:pPr>
      <w:r>
        <w:rPr>
          <w:rFonts w:hint="eastAsia" w:hAnsi="Times New Roman"/>
          <w:b w:val="0"/>
          <w:i w:val="0"/>
          <w:color w:val="000000"/>
          <w:kern w:val="21"/>
          <w:sz w:val="21"/>
          <w:szCs w:val="20"/>
          <w:lang w:val="en-US" w:eastAsia="zh-CN" w:bidi="ar-SA"/>
        </w:rPr>
        <w:t>应选优质高产、无病虫、生长健壮、结果盛期的母树枝条，采集1年</w:t>
      </w:r>
      <w:r>
        <w:rPr>
          <w:rFonts w:hint="eastAsia"/>
          <w:color w:val="000000"/>
        </w:rPr>
        <w:t>～</w:t>
      </w:r>
      <w:r>
        <w:rPr>
          <w:rFonts w:hint="eastAsia"/>
          <w:color w:val="000000"/>
          <w:lang w:val="en-US" w:eastAsia="zh-CN"/>
        </w:rPr>
        <w:t>2年生、粗0.6cm</w:t>
      </w:r>
      <w:r>
        <w:rPr>
          <w:rFonts w:hint="eastAsia"/>
          <w:color w:val="000000"/>
        </w:rPr>
        <w:t>～</w:t>
      </w:r>
      <w:r>
        <w:rPr>
          <w:rFonts w:hint="eastAsia"/>
          <w:color w:val="000000"/>
          <w:lang w:val="en-US" w:eastAsia="zh-CN"/>
        </w:rPr>
        <w:t>1.0cm枝条，截成10cm</w:t>
      </w:r>
      <w:r>
        <w:rPr>
          <w:rFonts w:hint="eastAsia"/>
          <w:color w:val="000000"/>
        </w:rPr>
        <w:t>～</w:t>
      </w:r>
      <w:r>
        <w:rPr>
          <w:rFonts w:hint="eastAsia"/>
          <w:color w:val="000000"/>
          <w:lang w:val="en-US" w:eastAsia="zh-CN"/>
        </w:rPr>
        <w:t>15cm长，保留上端约2个</w:t>
      </w:r>
      <w:r>
        <w:rPr>
          <w:rFonts w:hint="eastAsia"/>
          <w:color w:val="000000"/>
        </w:rPr>
        <w:t>～</w:t>
      </w:r>
      <w:r>
        <w:rPr>
          <w:rFonts w:hint="eastAsia"/>
          <w:color w:val="000000"/>
          <w:lang w:val="en-US" w:eastAsia="zh-CN"/>
        </w:rPr>
        <w:t>3个叶片，捆扎成把，用按照生根剂调配说明调制好生根溶液浸基部10s备用。</w:t>
      </w:r>
    </w:p>
    <w:p w14:paraId="2CD37A57">
      <w:pPr>
        <w:pStyle w:val="48"/>
        <w:numPr>
          <w:ilvl w:val="3"/>
          <w:numId w:val="0"/>
        </w:numPr>
        <w:spacing w:before="156" w:after="156"/>
        <w:ind w:left="0" w:leftChars="0" w:firstLine="0" w:firstLineChars="0"/>
        <w:rPr>
          <w:rFonts w:hint="eastAsia" w:hAnsi="Times New Roman"/>
          <w:b w:val="0"/>
          <w:i w:val="0"/>
          <w:color w:val="000000"/>
          <w:kern w:val="21"/>
          <w:sz w:val="21"/>
          <w:szCs w:val="20"/>
          <w:lang w:val="en-US" w:eastAsia="zh-CN" w:bidi="ar-SA"/>
        </w:rPr>
      </w:pPr>
      <w:r>
        <w:rPr>
          <w:rFonts w:hint="eastAsia" w:ascii="黑体" w:hAnsi="Times New Roman" w:eastAsia="黑体"/>
          <w:b w:val="0"/>
          <w:i w:val="0"/>
          <w:color w:val="000000"/>
          <w:kern w:val="21"/>
          <w:sz w:val="21"/>
          <w:szCs w:val="20"/>
          <w:lang w:val="en-US" w:eastAsia="zh-CN" w:bidi="ar-SA"/>
        </w:rPr>
        <w:t>B.1.3.</w:t>
      </w:r>
      <w:r>
        <w:rPr>
          <w:rFonts w:hint="eastAsia" w:hAnsi="Times New Roman"/>
          <w:b w:val="0"/>
          <w:i w:val="0"/>
          <w:color w:val="000000"/>
          <w:kern w:val="21"/>
          <w:sz w:val="21"/>
          <w:szCs w:val="20"/>
          <w:lang w:val="en-US" w:eastAsia="zh-CN" w:bidi="ar-SA"/>
        </w:rPr>
        <w:t>4.2</w:t>
      </w:r>
      <w:r>
        <w:rPr>
          <w:rFonts w:hint="eastAsia" w:ascii="黑体" w:hAnsi="Times New Roman" w:eastAsia="黑体"/>
          <w:b w:val="0"/>
          <w:i w:val="0"/>
          <w:color w:val="000000"/>
          <w:kern w:val="21"/>
          <w:sz w:val="21"/>
          <w:szCs w:val="20"/>
          <w:lang w:val="en-US" w:eastAsia="zh-CN" w:bidi="ar-SA"/>
        </w:rPr>
        <w:t>　</w:t>
      </w:r>
      <w:r>
        <w:rPr>
          <w:rFonts w:hint="eastAsia" w:hAnsi="Times New Roman"/>
          <w:b w:val="0"/>
          <w:i w:val="0"/>
          <w:color w:val="000000"/>
          <w:kern w:val="21"/>
          <w:sz w:val="21"/>
          <w:szCs w:val="20"/>
          <w:lang w:val="en-US" w:eastAsia="zh-CN" w:bidi="ar-SA"/>
        </w:rPr>
        <w:t>扦插时间</w:t>
      </w:r>
    </w:p>
    <w:p w14:paraId="167F57A4">
      <w:pPr>
        <w:pStyle w:val="22"/>
        <w:rPr>
          <w:rFonts w:hint="eastAsia" w:hAnsi="Times New Roman"/>
          <w:b w:val="0"/>
          <w:i w:val="0"/>
          <w:color w:val="000000"/>
          <w:kern w:val="21"/>
          <w:sz w:val="21"/>
          <w:szCs w:val="20"/>
          <w:lang w:val="en-US" w:eastAsia="zh-CN" w:bidi="ar-SA"/>
        </w:rPr>
      </w:pPr>
      <w:r>
        <w:rPr>
          <w:rFonts w:hint="eastAsia" w:hAnsi="Times New Roman"/>
          <w:b w:val="0"/>
          <w:i w:val="0"/>
          <w:color w:val="000000"/>
          <w:kern w:val="21"/>
          <w:sz w:val="21"/>
          <w:szCs w:val="20"/>
          <w:lang w:val="en-US" w:eastAsia="zh-CN" w:bidi="ar-SA"/>
        </w:rPr>
        <w:t>2月下旬至3月上旬。</w:t>
      </w:r>
    </w:p>
    <w:p w14:paraId="1F38EAE7">
      <w:pPr>
        <w:pStyle w:val="48"/>
        <w:numPr>
          <w:ilvl w:val="3"/>
          <w:numId w:val="0"/>
        </w:numPr>
        <w:spacing w:before="156" w:after="156"/>
        <w:ind w:left="0" w:leftChars="0" w:firstLine="0" w:firstLineChars="0"/>
        <w:rPr>
          <w:rFonts w:hint="eastAsia" w:hAnsi="Times New Roman"/>
          <w:b w:val="0"/>
          <w:i w:val="0"/>
          <w:color w:val="000000"/>
          <w:kern w:val="21"/>
          <w:sz w:val="21"/>
          <w:szCs w:val="20"/>
          <w:lang w:val="en-US" w:eastAsia="zh-CN" w:bidi="ar-SA"/>
        </w:rPr>
      </w:pPr>
      <w:r>
        <w:rPr>
          <w:rFonts w:hint="eastAsia" w:ascii="黑体" w:hAnsi="Times New Roman" w:eastAsia="黑体"/>
          <w:b w:val="0"/>
          <w:i w:val="0"/>
          <w:color w:val="000000"/>
          <w:kern w:val="21"/>
          <w:sz w:val="21"/>
          <w:szCs w:val="20"/>
          <w:lang w:val="en-US" w:eastAsia="zh-CN" w:bidi="ar-SA"/>
        </w:rPr>
        <w:t>B.1.3.</w:t>
      </w:r>
      <w:r>
        <w:rPr>
          <w:rFonts w:hint="eastAsia" w:hAnsi="Times New Roman"/>
          <w:b w:val="0"/>
          <w:i w:val="0"/>
          <w:color w:val="000000"/>
          <w:kern w:val="21"/>
          <w:sz w:val="21"/>
          <w:szCs w:val="20"/>
          <w:lang w:val="en-US" w:eastAsia="zh-CN" w:bidi="ar-SA"/>
        </w:rPr>
        <w:t>4.3</w:t>
      </w:r>
      <w:r>
        <w:rPr>
          <w:rFonts w:hint="eastAsia" w:ascii="黑体" w:hAnsi="Times New Roman" w:eastAsia="黑体"/>
          <w:b w:val="0"/>
          <w:i w:val="0"/>
          <w:color w:val="000000"/>
          <w:kern w:val="21"/>
          <w:sz w:val="21"/>
          <w:szCs w:val="20"/>
          <w:lang w:val="en-US" w:eastAsia="zh-CN" w:bidi="ar-SA"/>
        </w:rPr>
        <w:t>　</w:t>
      </w:r>
      <w:r>
        <w:rPr>
          <w:rFonts w:hint="eastAsia" w:hAnsi="Times New Roman"/>
          <w:b w:val="0"/>
          <w:i w:val="0"/>
          <w:color w:val="000000"/>
          <w:kern w:val="21"/>
          <w:sz w:val="21"/>
          <w:szCs w:val="20"/>
          <w:lang w:val="en-US" w:eastAsia="zh-CN" w:bidi="ar-SA"/>
        </w:rPr>
        <w:t>扦插方法</w:t>
      </w:r>
    </w:p>
    <w:p w14:paraId="3FC861B0">
      <w:pPr>
        <w:pStyle w:val="22"/>
        <w:rPr>
          <w:rFonts w:hint="eastAsia"/>
          <w:color w:val="000000"/>
        </w:rPr>
      </w:pPr>
      <w:r>
        <w:rPr>
          <w:rFonts w:hint="eastAsia" w:hAnsi="Times New Roman"/>
          <w:b w:val="0"/>
          <w:i w:val="0"/>
          <w:color w:val="000000"/>
          <w:kern w:val="21"/>
          <w:sz w:val="21"/>
          <w:szCs w:val="20"/>
          <w:lang w:val="en-US" w:eastAsia="zh-CN" w:bidi="ar-SA"/>
        </w:rPr>
        <w:t>先将苗床浇透水，次日再在畦上覆盖草地布或黑膜，四周压稳。按株距10cm、行距15cm扦插，深度为插条长度的1/2或1/3，插后压紧。</w:t>
      </w:r>
    </w:p>
    <w:p w14:paraId="61473574">
      <w:pPr>
        <w:pStyle w:val="69"/>
        <w:numPr>
          <w:ilvl w:val="2"/>
          <w:numId w:val="0"/>
        </w:numPr>
        <w:spacing w:before="156" w:after="156"/>
        <w:ind w:left="0" w:leftChars="0" w:firstLine="0" w:firstLineChars="0"/>
        <w:rPr>
          <w:color w:val="000000"/>
        </w:rPr>
      </w:pPr>
      <w:r>
        <w:rPr>
          <w:rFonts w:hint="eastAsia" w:ascii="黑体" w:hAnsi="Times New Roman" w:eastAsia="黑体"/>
          <w:b w:val="0"/>
          <w:i w:val="0"/>
          <w:color w:val="000000"/>
          <w:kern w:val="21"/>
          <w:sz w:val="21"/>
          <w:lang w:val="en-US" w:eastAsia="zh-CN" w:bidi="ar-SA"/>
        </w:rPr>
        <w:t>B.1.4　</w:t>
      </w:r>
      <w:r>
        <w:rPr>
          <w:rFonts w:hint="eastAsia"/>
          <w:color w:val="000000"/>
        </w:rPr>
        <w:t>苗圃管理</w:t>
      </w:r>
    </w:p>
    <w:p w14:paraId="07A69802">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val="en-US" w:eastAsia="zh-CN" w:bidi="ar-SA"/>
        </w:rPr>
        <w:t>B.1.4.1　</w:t>
      </w:r>
      <w:r>
        <w:rPr>
          <w:rFonts w:hint="eastAsia"/>
          <w:color w:val="000000"/>
        </w:rPr>
        <w:t>水分管理</w:t>
      </w:r>
    </w:p>
    <w:p w14:paraId="2C017333">
      <w:pPr>
        <w:widowControl/>
        <w:tabs>
          <w:tab w:val="center" w:pos="4201"/>
          <w:tab w:val="right" w:leader="dot" w:pos="9298"/>
        </w:tabs>
        <w:autoSpaceDE w:val="0"/>
        <w:autoSpaceDN w:val="0"/>
        <w:ind w:firstLine="420" w:firstLineChars="200"/>
        <w:rPr>
          <w:rFonts w:ascii="宋体"/>
          <w:color w:val="000000"/>
          <w:kern w:val="0"/>
          <w:szCs w:val="20"/>
        </w:rPr>
      </w:pPr>
      <w:r>
        <w:rPr>
          <w:rFonts w:hint="eastAsia" w:ascii="宋体"/>
          <w:color w:val="000000"/>
          <w:kern w:val="0"/>
          <w:szCs w:val="20"/>
        </w:rPr>
        <w:t>水分管理抓3个关键期，并符合以下要求：</w:t>
      </w:r>
    </w:p>
    <w:p w14:paraId="514856F3">
      <w:pPr>
        <w:pStyle w:val="131"/>
        <w:rPr>
          <w:color w:val="000000"/>
        </w:rPr>
      </w:pPr>
      <w:r>
        <w:rPr>
          <w:rFonts w:hint="eastAsia"/>
          <w:color w:val="000000"/>
        </w:rPr>
        <w:t>种子萌芽期或出苗期</w:t>
      </w:r>
      <w:r>
        <w:rPr>
          <w:rFonts w:hint="eastAsia"/>
          <w:color w:val="000000"/>
          <w:lang w:eastAsia="zh-CN"/>
        </w:rPr>
        <w:t>、扦插苗新根生长初期</w:t>
      </w:r>
      <w:r>
        <w:rPr>
          <w:rFonts w:hint="eastAsia"/>
          <w:color w:val="000000"/>
        </w:rPr>
        <w:t>。这个时期的苗床土应不旱、不涝，保持湿润；</w:t>
      </w:r>
    </w:p>
    <w:p w14:paraId="1A22DDAA">
      <w:pPr>
        <w:pStyle w:val="131"/>
        <w:rPr>
          <w:color w:val="000000"/>
        </w:rPr>
      </w:pPr>
      <w:r>
        <w:rPr>
          <w:rFonts w:hint="eastAsia"/>
          <w:color w:val="000000"/>
        </w:rPr>
        <w:t>苗木生长初期（5月～6月）。进入梅雨季节后，要及时疏通排水沟，防止苗床积水；</w:t>
      </w:r>
    </w:p>
    <w:p w14:paraId="72B4E772">
      <w:pPr>
        <w:pStyle w:val="131"/>
        <w:rPr>
          <w:rFonts w:hint="eastAsia"/>
          <w:color w:val="000000"/>
        </w:rPr>
      </w:pPr>
      <w:r>
        <w:rPr>
          <w:rFonts w:hint="eastAsia"/>
          <w:color w:val="000000"/>
        </w:rPr>
        <w:t>苗木速生期（7月～9月）。当天气久晴不雨时，要及时浇水或灌水，确保苗木速生的需要。</w:t>
      </w:r>
    </w:p>
    <w:p w14:paraId="632D2DB4">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bidi="ar-SA"/>
        </w:rPr>
        <w:t>B.1.4.2　</w:t>
      </w:r>
      <w:r>
        <w:rPr>
          <w:rFonts w:hint="eastAsia"/>
          <w:color w:val="000000"/>
        </w:rPr>
        <w:t>施肥管理</w:t>
      </w:r>
    </w:p>
    <w:p w14:paraId="6A947B3F">
      <w:pPr>
        <w:widowControl/>
        <w:tabs>
          <w:tab w:val="center" w:pos="4201"/>
          <w:tab w:val="right" w:leader="dot" w:pos="9298"/>
        </w:tabs>
        <w:autoSpaceDE w:val="0"/>
        <w:autoSpaceDN w:val="0"/>
        <w:ind w:firstLine="420" w:firstLineChars="200"/>
        <w:rPr>
          <w:rFonts w:ascii="宋体"/>
          <w:color w:val="000000"/>
          <w:kern w:val="0"/>
          <w:szCs w:val="20"/>
        </w:rPr>
      </w:pPr>
      <w:r>
        <w:rPr>
          <w:rFonts w:hint="eastAsia" w:ascii="宋体"/>
          <w:color w:val="000000"/>
          <w:kern w:val="0"/>
          <w:szCs w:val="20"/>
        </w:rPr>
        <w:t>圃地施肥应结合松土和间苗进行，并符合以下要求：</w:t>
      </w:r>
    </w:p>
    <w:p w14:paraId="0338E9BF">
      <w:pPr>
        <w:pStyle w:val="131"/>
        <w:numPr>
          <w:ilvl w:val="0"/>
          <w:numId w:val="18"/>
        </w:numPr>
        <w:rPr>
          <w:color w:val="000000"/>
        </w:rPr>
      </w:pPr>
      <w:r>
        <w:rPr>
          <w:rFonts w:hint="eastAsia"/>
          <w:color w:val="000000"/>
        </w:rPr>
        <w:t>5月～6月，可每隔10</w:t>
      </w:r>
      <w:r>
        <w:rPr>
          <w:color w:val="000000"/>
        </w:rPr>
        <w:t>d</w:t>
      </w:r>
      <w:r>
        <w:rPr>
          <w:rFonts w:hint="eastAsia"/>
          <w:color w:val="000000"/>
        </w:rPr>
        <w:t>～15d施1次0.1%～0.2%复合肥或尿素；</w:t>
      </w:r>
    </w:p>
    <w:p w14:paraId="15966E60">
      <w:pPr>
        <w:pStyle w:val="131"/>
        <w:numPr>
          <w:ilvl w:val="0"/>
          <w:numId w:val="18"/>
        </w:numPr>
        <w:rPr>
          <w:rFonts w:hint="eastAsia"/>
          <w:color w:val="000000"/>
        </w:rPr>
      </w:pPr>
      <w:r>
        <w:rPr>
          <w:rFonts w:hint="eastAsia"/>
          <w:color w:val="000000"/>
        </w:rPr>
        <w:t>7月～9月，要及时追肥，一般追氮肥2次～3次。前期每隔15</w:t>
      </w:r>
      <w:r>
        <w:rPr>
          <w:color w:val="000000"/>
        </w:rPr>
        <w:t>d</w:t>
      </w:r>
      <w:r>
        <w:rPr>
          <w:rFonts w:hint="eastAsia"/>
          <w:color w:val="000000"/>
        </w:rPr>
        <w:t>～20d施或0.2%～0.3%复合肥或尿素。8月后，施用复合肥5</w:t>
      </w:r>
      <w:r>
        <w:rPr>
          <w:color w:val="000000"/>
        </w:rPr>
        <w:t>kg</w:t>
      </w:r>
      <w:r>
        <w:rPr>
          <w:rFonts w:hint="eastAsia"/>
          <w:color w:val="000000"/>
        </w:rPr>
        <w:t>/66</w:t>
      </w:r>
      <w:r>
        <w:rPr>
          <w:color w:val="000000"/>
        </w:rPr>
        <w:t>7m</w:t>
      </w:r>
      <w:r>
        <w:rPr>
          <w:color w:val="000000"/>
          <w:vertAlign w:val="superscript"/>
        </w:rPr>
        <w:t>2</w:t>
      </w:r>
      <w:r>
        <w:rPr>
          <w:rFonts w:hint="eastAsia"/>
          <w:color w:val="000000"/>
        </w:rPr>
        <w:t>～8kg/66</w:t>
      </w:r>
      <w:r>
        <w:rPr>
          <w:color w:val="000000"/>
        </w:rPr>
        <w:t>7m</w:t>
      </w:r>
      <w:r>
        <w:rPr>
          <w:color w:val="000000"/>
          <w:vertAlign w:val="superscript"/>
        </w:rPr>
        <w:t>2</w:t>
      </w:r>
      <w:r>
        <w:rPr>
          <w:rFonts w:hint="eastAsia"/>
          <w:color w:val="000000"/>
        </w:rPr>
        <w:t>。9月下旬，停止追施氮肥，补充追施磷、钾肥2次，一般每隔10</w:t>
      </w:r>
      <w:r>
        <w:rPr>
          <w:color w:val="000000"/>
        </w:rPr>
        <w:t>d</w:t>
      </w:r>
      <w:r>
        <w:rPr>
          <w:rFonts w:hint="eastAsia"/>
          <w:color w:val="000000"/>
        </w:rPr>
        <w:t>～15d喷0.3%～0.5%磷酸二氢钾溶液1次。</w:t>
      </w:r>
    </w:p>
    <w:p w14:paraId="6DBDEC8A">
      <w:pPr>
        <w:pStyle w:val="48"/>
        <w:numPr>
          <w:ilvl w:val="3"/>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szCs w:val="20"/>
          <w:lang w:val="en-US" w:eastAsia="zh-CN" w:bidi="ar-SA"/>
        </w:rPr>
        <w:t>B.1.4.3　</w:t>
      </w:r>
      <w:r>
        <w:rPr>
          <w:rFonts w:hint="eastAsia"/>
          <w:color w:val="000000"/>
        </w:rPr>
        <w:t>除草间苗</w:t>
      </w:r>
    </w:p>
    <w:p w14:paraId="22C41504">
      <w:pPr>
        <w:pStyle w:val="48"/>
        <w:numPr>
          <w:ilvl w:val="3"/>
          <w:numId w:val="0"/>
        </w:numPr>
        <w:spacing w:before="156" w:after="156"/>
        <w:ind w:left="0" w:leftChars="0" w:firstLine="0" w:firstLineChars="0"/>
        <w:rPr>
          <w:rFonts w:hint="eastAsia" w:ascii="宋体" w:hAnsi="Times New Roman" w:eastAsia="宋体" w:cs="Times New Roman"/>
          <w:color w:val="000000"/>
          <w:kern w:val="0"/>
          <w:sz w:val="21"/>
          <w:szCs w:val="20"/>
          <w:lang w:bidi="ar-SA"/>
        </w:rPr>
      </w:pPr>
      <w:r>
        <w:rPr>
          <w:rFonts w:hint="eastAsia" w:ascii="黑体" w:hAnsi="Times New Roman" w:eastAsia="黑体"/>
          <w:b w:val="0"/>
          <w:i w:val="0"/>
          <w:color w:val="000000"/>
          <w:kern w:val="21"/>
          <w:sz w:val="21"/>
          <w:szCs w:val="20"/>
          <w:lang w:val="en-US" w:eastAsia="zh-CN" w:bidi="ar-SA"/>
        </w:rPr>
        <w:t>B.1.4.3</w:t>
      </w:r>
      <w:r>
        <w:rPr>
          <w:rFonts w:hint="eastAsia" w:hAnsi="Times New Roman"/>
          <w:b w:val="0"/>
          <w:i w:val="0"/>
          <w:color w:val="000000"/>
          <w:kern w:val="21"/>
          <w:sz w:val="21"/>
          <w:szCs w:val="20"/>
          <w:lang w:val="en-US" w:eastAsia="zh-CN" w:bidi="ar-SA"/>
        </w:rPr>
        <w:t>.1</w:t>
      </w:r>
      <w:r>
        <w:rPr>
          <w:rFonts w:hint="eastAsia" w:ascii="黑体" w:hAnsi="Times New Roman" w:eastAsia="黑体"/>
          <w:b w:val="0"/>
          <w:i w:val="0"/>
          <w:color w:val="000000"/>
          <w:kern w:val="21"/>
          <w:sz w:val="21"/>
          <w:szCs w:val="20"/>
          <w:lang w:val="en-US" w:eastAsia="zh-CN" w:bidi="ar-SA"/>
        </w:rPr>
        <w:t>　</w:t>
      </w:r>
      <w:r>
        <w:rPr>
          <w:rFonts w:hint="eastAsia" w:ascii="宋体" w:hAnsi="Times New Roman" w:eastAsia="宋体" w:cs="Times New Roman"/>
          <w:color w:val="000000"/>
          <w:kern w:val="0"/>
          <w:sz w:val="21"/>
          <w:szCs w:val="20"/>
          <w:lang w:val="en-US" w:eastAsia="zh-CN" w:bidi="ar-SA"/>
        </w:rPr>
        <w:t>播种育苗：</w:t>
      </w:r>
      <w:r>
        <w:rPr>
          <w:rFonts w:hint="eastAsia" w:ascii="宋体" w:hAnsi="Times New Roman" w:eastAsia="宋体" w:cs="Times New Roman"/>
          <w:color w:val="000000"/>
          <w:kern w:val="0"/>
          <w:sz w:val="21"/>
          <w:szCs w:val="20"/>
          <w:lang w:bidi="ar-SA"/>
        </w:rPr>
        <w:t>在出苗2d～3d后要拔草1次，之后每隔10d～15d在苗床行间松土除草，苗间小草用手拔除，并结合间苗1次。以后根据生长和密度情况，可分2次～3次进行间苗，使苗木均匀分布，产苗量控制在5万株/667</w:t>
      </w:r>
      <w:r>
        <w:rPr>
          <w:color w:val="000000"/>
        </w:rPr>
        <w:t>m</w:t>
      </w:r>
      <w:r>
        <w:rPr>
          <w:color w:val="000000"/>
          <w:vertAlign w:val="superscript"/>
        </w:rPr>
        <w:t>2</w:t>
      </w:r>
      <w:r>
        <w:rPr>
          <w:rFonts w:hint="eastAsia" w:ascii="宋体" w:hAnsi="Times New Roman" w:eastAsia="宋体" w:cs="Times New Roman"/>
          <w:color w:val="000000"/>
          <w:kern w:val="0"/>
          <w:sz w:val="21"/>
          <w:szCs w:val="20"/>
          <w:lang w:bidi="ar-SA"/>
        </w:rPr>
        <w:t>～6万株/667</w:t>
      </w:r>
      <w:r>
        <w:rPr>
          <w:color w:val="000000"/>
        </w:rPr>
        <w:t>m</w:t>
      </w:r>
      <w:r>
        <w:rPr>
          <w:color w:val="000000"/>
          <w:vertAlign w:val="superscript"/>
        </w:rPr>
        <w:t>2</w:t>
      </w:r>
      <w:r>
        <w:rPr>
          <w:rFonts w:hint="eastAsia" w:ascii="宋体" w:hAnsi="Times New Roman" w:eastAsia="宋体" w:cs="Times New Roman"/>
          <w:color w:val="000000"/>
          <w:kern w:val="0"/>
          <w:sz w:val="21"/>
          <w:szCs w:val="20"/>
          <w:lang w:bidi="ar-SA"/>
        </w:rPr>
        <w:t>。</w:t>
      </w:r>
    </w:p>
    <w:p w14:paraId="7E97D2DF">
      <w:pPr>
        <w:pStyle w:val="48"/>
        <w:numPr>
          <w:ilvl w:val="3"/>
          <w:numId w:val="0"/>
        </w:numPr>
        <w:spacing w:before="156" w:after="156"/>
        <w:ind w:left="0" w:leftChars="0" w:firstLine="0" w:firstLineChars="0"/>
        <w:rPr>
          <w:rFonts w:hint="eastAsia" w:ascii="宋体" w:hAnsi="Times New Roman" w:eastAsia="宋体" w:cs="Times New Roman"/>
          <w:color w:val="000000"/>
          <w:kern w:val="0"/>
          <w:sz w:val="21"/>
          <w:szCs w:val="20"/>
          <w:lang w:bidi="ar-SA"/>
        </w:rPr>
      </w:pPr>
      <w:r>
        <w:rPr>
          <w:rFonts w:hint="eastAsia" w:ascii="黑体" w:hAnsi="Times New Roman" w:eastAsia="黑体"/>
          <w:b w:val="0"/>
          <w:i w:val="0"/>
          <w:color w:val="000000"/>
          <w:kern w:val="21"/>
          <w:sz w:val="21"/>
          <w:szCs w:val="20"/>
          <w:lang w:val="en-US" w:eastAsia="zh-CN" w:bidi="ar-SA"/>
        </w:rPr>
        <w:t>B.1.4.3</w:t>
      </w:r>
      <w:r>
        <w:rPr>
          <w:rFonts w:hint="eastAsia" w:hAnsi="Times New Roman"/>
          <w:b w:val="0"/>
          <w:i w:val="0"/>
          <w:color w:val="000000"/>
          <w:kern w:val="21"/>
          <w:sz w:val="21"/>
          <w:szCs w:val="20"/>
          <w:lang w:val="en-US" w:eastAsia="zh-CN" w:bidi="ar-SA"/>
        </w:rPr>
        <w:t>.2</w:t>
      </w:r>
      <w:r>
        <w:rPr>
          <w:rFonts w:hint="eastAsia" w:ascii="黑体" w:hAnsi="Times New Roman" w:eastAsia="黑体"/>
          <w:b w:val="0"/>
          <w:i w:val="0"/>
          <w:color w:val="000000"/>
          <w:kern w:val="21"/>
          <w:sz w:val="21"/>
          <w:szCs w:val="20"/>
          <w:lang w:val="en-US" w:eastAsia="zh-CN" w:bidi="ar-SA"/>
        </w:rPr>
        <w:t>　</w:t>
      </w:r>
      <w:r>
        <w:rPr>
          <w:rFonts w:hint="eastAsia" w:ascii="宋体" w:hAnsi="Times New Roman" w:eastAsia="宋体" w:cs="Times New Roman"/>
          <w:color w:val="000000"/>
          <w:kern w:val="0"/>
          <w:sz w:val="21"/>
          <w:szCs w:val="20"/>
          <w:lang w:val="en-US" w:eastAsia="zh-CN" w:bidi="ar-SA"/>
        </w:rPr>
        <w:t>扦插苗床：及时拔除杂草，但注意拔草时不能松动插条。</w:t>
      </w:r>
    </w:p>
    <w:p w14:paraId="08795D11">
      <w:pPr>
        <w:pStyle w:val="69"/>
        <w:numPr>
          <w:ilvl w:val="2"/>
          <w:numId w:val="0"/>
        </w:numPr>
        <w:spacing w:before="156" w:after="156"/>
        <w:ind w:left="0" w:leftChars="0" w:firstLine="0" w:firstLineChars="0"/>
        <w:rPr>
          <w:rFonts w:hint="eastAsia" w:eastAsia="黑体"/>
          <w:color w:val="000000"/>
          <w:lang w:eastAsia="zh-CN"/>
        </w:rPr>
      </w:pPr>
      <w:r>
        <w:rPr>
          <w:rFonts w:hint="eastAsia" w:ascii="黑体" w:hAnsi="Times New Roman" w:eastAsia="黑体"/>
          <w:b w:val="0"/>
          <w:i w:val="0"/>
          <w:color w:val="000000"/>
          <w:kern w:val="21"/>
          <w:sz w:val="21"/>
          <w:lang w:val="en-US" w:eastAsia="zh-CN" w:bidi="ar-SA"/>
        </w:rPr>
        <w:t>B.1.5　</w:t>
      </w:r>
      <w:r>
        <w:rPr>
          <w:rFonts w:hint="eastAsia"/>
          <w:color w:val="000000"/>
          <w:lang w:eastAsia="zh-CN"/>
        </w:rPr>
        <w:t>出圃</w:t>
      </w:r>
    </w:p>
    <w:p w14:paraId="2BD1B7AE">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lang w:eastAsia="zh-CN"/>
        </w:rPr>
        <w:t>出圃</w:t>
      </w:r>
      <w:r>
        <w:rPr>
          <w:rFonts w:hint="eastAsia" w:ascii="宋体"/>
          <w:color w:val="000000"/>
          <w:kern w:val="0"/>
          <w:szCs w:val="20"/>
        </w:rPr>
        <w:t>前先对苗圃浇透水，苗木起土后按表B</w:t>
      </w:r>
      <w:r>
        <w:rPr>
          <w:rFonts w:ascii="宋体"/>
          <w:color w:val="000000"/>
          <w:kern w:val="0"/>
          <w:szCs w:val="20"/>
        </w:rPr>
        <w:t>.1</w:t>
      </w:r>
      <w:r>
        <w:rPr>
          <w:rFonts w:hint="eastAsia" w:ascii="宋体"/>
          <w:color w:val="000000"/>
          <w:kern w:val="0"/>
          <w:szCs w:val="20"/>
        </w:rPr>
        <w:t>进行分级</w:t>
      </w:r>
      <w:r>
        <w:rPr>
          <w:rFonts w:hint="eastAsia" w:ascii="宋体"/>
          <w:color w:val="000000"/>
          <w:kern w:val="0"/>
          <w:szCs w:val="20"/>
          <w:lang w:eastAsia="zh-CN"/>
        </w:rPr>
        <w:t>，及时移摘</w:t>
      </w:r>
      <w:r>
        <w:rPr>
          <w:rFonts w:hint="eastAsia" w:ascii="宋体"/>
          <w:color w:val="000000"/>
          <w:kern w:val="0"/>
          <w:szCs w:val="20"/>
        </w:rPr>
        <w:t>。</w:t>
      </w:r>
    </w:p>
    <w:p w14:paraId="4693CD4B">
      <w:pPr>
        <w:pStyle w:val="100"/>
        <w:numPr>
          <w:ilvl w:val="1"/>
          <w:numId w:val="0"/>
        </w:numPr>
        <w:spacing w:before="156" w:after="156"/>
        <w:ind w:left="0" w:leftChars="0" w:firstLine="0" w:firstLineChars="0"/>
        <w:rPr>
          <w:rFonts w:hint="eastAsia" w:ascii="黑体" w:eastAsia="黑体"/>
          <w:color w:val="000000"/>
          <w:kern w:val="2"/>
          <w:sz w:val="21"/>
          <w:szCs w:val="21"/>
          <w:lang w:val="en-US" w:eastAsia="zh-CN" w:bidi="ar-SA"/>
        </w:rPr>
      </w:pPr>
    </w:p>
    <w:p w14:paraId="3404E6BA">
      <w:pPr>
        <w:pStyle w:val="100"/>
        <w:numPr>
          <w:ilvl w:val="1"/>
          <w:numId w:val="0"/>
        </w:numPr>
        <w:spacing w:before="156" w:after="156"/>
        <w:ind w:left="0" w:leftChars="0" w:firstLine="0" w:firstLineChars="0"/>
        <w:rPr>
          <w:rFonts w:hint="eastAsia" w:ascii="黑体" w:eastAsia="黑体"/>
          <w:color w:val="000000"/>
          <w:kern w:val="2"/>
          <w:sz w:val="21"/>
          <w:szCs w:val="21"/>
          <w:lang w:val="en-US" w:eastAsia="zh-CN" w:bidi="ar-SA"/>
        </w:rPr>
      </w:pPr>
    </w:p>
    <w:p w14:paraId="0F5D449A">
      <w:pPr>
        <w:pStyle w:val="100"/>
        <w:numPr>
          <w:ilvl w:val="1"/>
          <w:numId w:val="0"/>
        </w:numPr>
        <w:spacing w:before="156" w:after="156"/>
        <w:ind w:left="0" w:leftChars="0" w:firstLine="0" w:firstLineChars="0"/>
        <w:rPr>
          <w:rFonts w:hint="eastAsia" w:ascii="黑体" w:eastAsia="黑体"/>
          <w:color w:val="000000"/>
          <w:kern w:val="2"/>
          <w:sz w:val="21"/>
          <w:szCs w:val="21"/>
          <w:lang w:val="en-US" w:eastAsia="zh-CN" w:bidi="ar-SA"/>
        </w:rPr>
      </w:pPr>
    </w:p>
    <w:p w14:paraId="2CDD90C1">
      <w:pPr>
        <w:pStyle w:val="100"/>
        <w:numPr>
          <w:ilvl w:val="1"/>
          <w:numId w:val="0"/>
        </w:numPr>
        <w:spacing w:before="156" w:after="156"/>
        <w:ind w:left="0" w:leftChars="0" w:firstLine="0" w:firstLineChars="0"/>
        <w:rPr>
          <w:rFonts w:hint="eastAsia" w:ascii="黑体" w:eastAsia="黑体"/>
          <w:color w:val="000000"/>
          <w:kern w:val="2"/>
          <w:sz w:val="21"/>
          <w:szCs w:val="21"/>
          <w:lang w:val="en-US" w:eastAsia="zh-CN" w:bidi="ar-SA"/>
        </w:rPr>
      </w:pPr>
    </w:p>
    <w:p w14:paraId="770ACA33">
      <w:pPr>
        <w:pStyle w:val="100"/>
        <w:numPr>
          <w:ilvl w:val="1"/>
          <w:numId w:val="0"/>
        </w:numPr>
        <w:spacing w:before="156" w:after="156"/>
        <w:ind w:left="0" w:leftChars="0" w:firstLine="0" w:firstLineChars="0"/>
        <w:rPr>
          <w:color w:val="000000"/>
        </w:rPr>
      </w:pPr>
      <w:r>
        <w:rPr>
          <w:rFonts w:hint="eastAsia" w:ascii="黑体" w:eastAsia="黑体"/>
          <w:color w:val="000000"/>
          <w:kern w:val="2"/>
          <w:sz w:val="21"/>
          <w:szCs w:val="21"/>
          <w:lang w:val="en-US" w:eastAsia="zh-CN" w:bidi="ar-SA"/>
        </w:rPr>
        <w:t>表</w:t>
      </w:r>
      <w:r>
        <w:rPr>
          <w:rFonts w:hint="eastAsia"/>
          <w:color w:val="000000"/>
          <w:kern w:val="2"/>
          <w:sz w:val="21"/>
          <w:szCs w:val="21"/>
          <w:lang w:val="en-US" w:eastAsia="zh-CN" w:bidi="ar-SA"/>
        </w:rPr>
        <w:t>B</w:t>
      </w:r>
      <w:r>
        <w:rPr>
          <w:rFonts w:hint="eastAsia" w:ascii="黑体" w:eastAsia="黑体"/>
          <w:color w:val="000000"/>
          <w:kern w:val="2"/>
          <w:sz w:val="21"/>
          <w:szCs w:val="21"/>
          <w:lang w:val="en-US" w:eastAsia="zh-CN" w:bidi="ar-SA"/>
        </w:rPr>
        <w:t>.1　</w:t>
      </w:r>
      <w:r>
        <w:rPr>
          <w:rFonts w:hint="eastAsia"/>
          <w:color w:val="000000"/>
        </w:rPr>
        <w:t>苗木规格</w:t>
      </w:r>
    </w:p>
    <w:tbl>
      <w:tblPr>
        <w:tblStyle w:val="3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14"/>
        <w:gridCol w:w="1914"/>
        <w:gridCol w:w="1914"/>
        <w:gridCol w:w="1914"/>
        <w:gridCol w:w="1915"/>
      </w:tblGrid>
      <w:tr w14:paraId="0F987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14" w:type="dxa"/>
            <w:noWrap w:val="0"/>
            <w:vAlign w:val="top"/>
          </w:tcPr>
          <w:p w14:paraId="63447B55">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jc w:val="center"/>
              <w:textAlignment w:val="auto"/>
              <w:rPr>
                <w:rFonts w:hint="eastAsia" w:ascii="宋体"/>
                <w:color w:val="000000"/>
                <w:kern w:val="0"/>
                <w:sz w:val="18"/>
                <w:szCs w:val="20"/>
              </w:rPr>
            </w:pPr>
            <w:r>
              <w:rPr>
                <w:rFonts w:hint="eastAsia" w:ascii="宋体"/>
                <w:color w:val="000000"/>
                <w:kern w:val="0"/>
                <w:sz w:val="18"/>
                <w:szCs w:val="20"/>
              </w:rPr>
              <w:t>苗木类型</w:t>
            </w:r>
          </w:p>
        </w:tc>
        <w:tc>
          <w:tcPr>
            <w:tcW w:w="1914" w:type="dxa"/>
            <w:noWrap w:val="0"/>
            <w:vAlign w:val="top"/>
          </w:tcPr>
          <w:p w14:paraId="468B098B">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jc w:val="center"/>
              <w:textAlignment w:val="auto"/>
              <w:rPr>
                <w:rFonts w:hint="eastAsia" w:ascii="宋体"/>
                <w:color w:val="000000"/>
                <w:kern w:val="0"/>
                <w:sz w:val="18"/>
                <w:szCs w:val="20"/>
              </w:rPr>
            </w:pPr>
            <w:r>
              <w:rPr>
                <w:rFonts w:hint="eastAsia" w:ascii="宋体"/>
                <w:color w:val="000000"/>
                <w:kern w:val="0"/>
                <w:sz w:val="18"/>
                <w:szCs w:val="20"/>
              </w:rPr>
              <w:t>等级</w:t>
            </w:r>
          </w:p>
        </w:tc>
        <w:tc>
          <w:tcPr>
            <w:tcW w:w="1914" w:type="dxa"/>
            <w:noWrap w:val="0"/>
            <w:vAlign w:val="top"/>
          </w:tcPr>
          <w:p w14:paraId="0B12CECE">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jc w:val="center"/>
              <w:textAlignment w:val="auto"/>
              <w:rPr>
                <w:rFonts w:hint="eastAsia" w:ascii="宋体"/>
                <w:color w:val="000000"/>
                <w:kern w:val="0"/>
                <w:sz w:val="18"/>
                <w:szCs w:val="20"/>
              </w:rPr>
            </w:pPr>
            <w:r>
              <w:rPr>
                <w:rFonts w:hint="eastAsia" w:ascii="宋体"/>
                <w:color w:val="000000"/>
                <w:kern w:val="0"/>
                <w:sz w:val="18"/>
                <w:szCs w:val="20"/>
              </w:rPr>
              <w:t>地径（cm）</w:t>
            </w:r>
          </w:p>
        </w:tc>
        <w:tc>
          <w:tcPr>
            <w:tcW w:w="1914" w:type="dxa"/>
            <w:noWrap w:val="0"/>
            <w:vAlign w:val="top"/>
          </w:tcPr>
          <w:p w14:paraId="253B80C3">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jc w:val="center"/>
              <w:textAlignment w:val="auto"/>
              <w:rPr>
                <w:rFonts w:hint="eastAsia" w:ascii="宋体"/>
                <w:color w:val="000000"/>
                <w:kern w:val="0"/>
                <w:sz w:val="18"/>
                <w:szCs w:val="20"/>
              </w:rPr>
            </w:pPr>
            <w:r>
              <w:rPr>
                <w:rFonts w:hint="eastAsia" w:ascii="宋体"/>
                <w:color w:val="000000"/>
                <w:kern w:val="0"/>
                <w:sz w:val="18"/>
                <w:szCs w:val="20"/>
              </w:rPr>
              <w:t>高度（cm）</w:t>
            </w:r>
          </w:p>
        </w:tc>
        <w:tc>
          <w:tcPr>
            <w:tcW w:w="1915" w:type="dxa"/>
            <w:noWrap w:val="0"/>
            <w:vAlign w:val="top"/>
          </w:tcPr>
          <w:p w14:paraId="6F9E7AE1">
            <w:pPr>
              <w:keepNext w:val="0"/>
              <w:keepLines w:val="0"/>
              <w:pageBreakBefore w:val="0"/>
              <w:widowControl/>
              <w:tabs>
                <w:tab w:val="center" w:pos="4201"/>
                <w:tab w:val="right" w:leader="dot" w:pos="9298"/>
              </w:tabs>
              <w:kinsoku/>
              <w:wordWrap/>
              <w:overflowPunct/>
              <w:topLinePunct w:val="0"/>
              <w:autoSpaceDE w:val="0"/>
              <w:autoSpaceDN w:val="0"/>
              <w:bidi w:val="0"/>
              <w:adjustRightInd/>
              <w:snapToGrid/>
              <w:jc w:val="center"/>
              <w:textAlignment w:val="auto"/>
              <w:rPr>
                <w:rFonts w:hint="eastAsia" w:ascii="宋体"/>
                <w:color w:val="000000"/>
                <w:kern w:val="0"/>
                <w:sz w:val="18"/>
                <w:szCs w:val="20"/>
              </w:rPr>
            </w:pPr>
            <w:r>
              <w:rPr>
                <w:rFonts w:hint="eastAsia" w:ascii="宋体"/>
                <w:color w:val="000000"/>
                <w:kern w:val="0"/>
                <w:sz w:val="18"/>
                <w:szCs w:val="20"/>
              </w:rPr>
              <w:t>其他指标</w:t>
            </w:r>
          </w:p>
        </w:tc>
      </w:tr>
      <w:tr w14:paraId="0C293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914" w:type="dxa"/>
            <w:vMerge w:val="restart"/>
            <w:noWrap w:val="0"/>
            <w:vAlign w:val="center"/>
          </w:tcPr>
          <w:p w14:paraId="409A1B1E">
            <w:pPr>
              <w:widowControl/>
              <w:tabs>
                <w:tab w:val="center" w:pos="4201"/>
                <w:tab w:val="right" w:leader="dot" w:pos="9298"/>
              </w:tabs>
              <w:autoSpaceDE w:val="0"/>
              <w:autoSpaceDN w:val="0"/>
              <w:jc w:val="center"/>
              <w:rPr>
                <w:rFonts w:hint="default" w:ascii="宋体" w:eastAsia="宋体"/>
                <w:color w:val="000000"/>
                <w:kern w:val="0"/>
                <w:sz w:val="18"/>
                <w:szCs w:val="20"/>
                <w:lang w:val="en-US" w:eastAsia="zh-CN"/>
              </w:rPr>
            </w:pPr>
            <w:r>
              <w:rPr>
                <w:rFonts w:hint="eastAsia" w:ascii="宋体"/>
                <w:color w:val="000000"/>
                <w:kern w:val="0"/>
                <w:sz w:val="18"/>
                <w:szCs w:val="20"/>
                <w:lang w:val="en-US" w:eastAsia="zh-CN"/>
              </w:rPr>
              <w:t>栀子苗</w:t>
            </w:r>
          </w:p>
        </w:tc>
        <w:tc>
          <w:tcPr>
            <w:tcW w:w="1914" w:type="dxa"/>
            <w:noWrap w:val="0"/>
            <w:vAlign w:val="center"/>
          </w:tcPr>
          <w:p w14:paraId="47C3C22E">
            <w:pPr>
              <w:widowControl/>
              <w:tabs>
                <w:tab w:val="center" w:pos="4201"/>
                <w:tab w:val="right" w:leader="dot" w:pos="9298"/>
              </w:tabs>
              <w:autoSpaceDE w:val="0"/>
              <w:autoSpaceDN w:val="0"/>
              <w:jc w:val="center"/>
              <w:rPr>
                <w:rFonts w:hint="eastAsia" w:ascii="宋体"/>
                <w:color w:val="000000"/>
                <w:kern w:val="0"/>
                <w:sz w:val="18"/>
                <w:szCs w:val="20"/>
              </w:rPr>
            </w:pPr>
            <w:r>
              <w:rPr>
                <w:rFonts w:hint="eastAsia" w:ascii="宋体"/>
                <w:color w:val="000000"/>
                <w:kern w:val="0"/>
                <w:sz w:val="18"/>
                <w:szCs w:val="20"/>
              </w:rPr>
              <w:t>Ⅰ级</w:t>
            </w:r>
          </w:p>
        </w:tc>
        <w:tc>
          <w:tcPr>
            <w:tcW w:w="1914" w:type="dxa"/>
            <w:noWrap w:val="0"/>
            <w:vAlign w:val="center"/>
          </w:tcPr>
          <w:p w14:paraId="51925BCB">
            <w:pPr>
              <w:widowControl/>
              <w:tabs>
                <w:tab w:val="center" w:pos="4201"/>
                <w:tab w:val="right" w:leader="dot" w:pos="9298"/>
              </w:tabs>
              <w:autoSpaceDE w:val="0"/>
              <w:autoSpaceDN w:val="0"/>
              <w:jc w:val="center"/>
              <w:rPr>
                <w:rFonts w:hint="eastAsia" w:ascii="宋体"/>
                <w:color w:val="000000"/>
                <w:kern w:val="0"/>
                <w:sz w:val="18"/>
                <w:szCs w:val="20"/>
              </w:rPr>
            </w:pPr>
            <w:r>
              <w:rPr>
                <w:rFonts w:hint="eastAsia" w:ascii="宋体"/>
                <w:color w:val="000000"/>
                <w:kern w:val="0"/>
                <w:sz w:val="18"/>
                <w:szCs w:val="20"/>
              </w:rPr>
              <w:t>≥0</w:t>
            </w:r>
            <w:r>
              <w:rPr>
                <w:rFonts w:ascii="宋体"/>
                <w:color w:val="000000"/>
                <w:kern w:val="0"/>
                <w:sz w:val="18"/>
                <w:szCs w:val="20"/>
              </w:rPr>
              <w:t>.6</w:t>
            </w:r>
          </w:p>
        </w:tc>
        <w:tc>
          <w:tcPr>
            <w:tcW w:w="1914" w:type="dxa"/>
            <w:noWrap w:val="0"/>
            <w:vAlign w:val="center"/>
          </w:tcPr>
          <w:p w14:paraId="3ED8E2A9">
            <w:pPr>
              <w:widowControl/>
              <w:tabs>
                <w:tab w:val="center" w:pos="4201"/>
                <w:tab w:val="right" w:leader="dot" w:pos="9298"/>
              </w:tabs>
              <w:autoSpaceDE w:val="0"/>
              <w:autoSpaceDN w:val="0"/>
              <w:jc w:val="center"/>
              <w:rPr>
                <w:rFonts w:hint="eastAsia" w:ascii="宋体"/>
                <w:color w:val="000000"/>
                <w:kern w:val="0"/>
                <w:sz w:val="18"/>
                <w:szCs w:val="20"/>
              </w:rPr>
            </w:pPr>
            <w:r>
              <w:rPr>
                <w:rFonts w:hint="eastAsia" w:ascii="宋体"/>
                <w:color w:val="000000"/>
                <w:kern w:val="0"/>
                <w:sz w:val="18"/>
                <w:szCs w:val="20"/>
              </w:rPr>
              <w:t>≥5</w:t>
            </w:r>
            <w:r>
              <w:rPr>
                <w:rFonts w:ascii="宋体"/>
                <w:color w:val="000000"/>
                <w:kern w:val="0"/>
                <w:sz w:val="18"/>
                <w:szCs w:val="20"/>
              </w:rPr>
              <w:t>0</w:t>
            </w:r>
          </w:p>
        </w:tc>
        <w:tc>
          <w:tcPr>
            <w:tcW w:w="1915" w:type="dxa"/>
            <w:vMerge w:val="restart"/>
            <w:noWrap w:val="0"/>
            <w:vAlign w:val="center"/>
          </w:tcPr>
          <w:p w14:paraId="6A01BFA9">
            <w:pPr>
              <w:widowControl/>
              <w:tabs>
                <w:tab w:val="center" w:pos="4201"/>
                <w:tab w:val="right" w:leader="dot" w:pos="9298"/>
              </w:tabs>
              <w:autoSpaceDE w:val="0"/>
              <w:autoSpaceDN w:val="0"/>
              <w:jc w:val="left"/>
              <w:rPr>
                <w:rFonts w:hint="eastAsia" w:ascii="宋体"/>
                <w:color w:val="000000"/>
                <w:kern w:val="0"/>
                <w:sz w:val="18"/>
                <w:szCs w:val="20"/>
              </w:rPr>
            </w:pPr>
            <w:r>
              <w:rPr>
                <w:rFonts w:hint="eastAsia" w:ascii="宋体"/>
                <w:color w:val="000000"/>
                <w:kern w:val="0"/>
                <w:sz w:val="18"/>
                <w:szCs w:val="20"/>
              </w:rPr>
              <w:t>一年生苗，色泽正常，顶芽完好，根系发达，健壮，无病虫害，无机械损伤。</w:t>
            </w:r>
          </w:p>
        </w:tc>
      </w:tr>
      <w:tr w14:paraId="752C4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14" w:type="dxa"/>
            <w:vMerge w:val="continue"/>
            <w:noWrap w:val="0"/>
            <w:vAlign w:val="center"/>
          </w:tcPr>
          <w:p w14:paraId="3495F2FB">
            <w:pPr>
              <w:widowControl/>
              <w:tabs>
                <w:tab w:val="center" w:pos="4201"/>
                <w:tab w:val="right" w:leader="dot" w:pos="9298"/>
              </w:tabs>
              <w:autoSpaceDE w:val="0"/>
              <w:autoSpaceDN w:val="0"/>
              <w:jc w:val="center"/>
              <w:rPr>
                <w:rFonts w:hint="eastAsia" w:ascii="宋体"/>
                <w:color w:val="000000"/>
                <w:kern w:val="0"/>
                <w:sz w:val="18"/>
                <w:szCs w:val="20"/>
              </w:rPr>
            </w:pPr>
          </w:p>
        </w:tc>
        <w:tc>
          <w:tcPr>
            <w:tcW w:w="1914" w:type="dxa"/>
            <w:noWrap w:val="0"/>
            <w:vAlign w:val="center"/>
          </w:tcPr>
          <w:p w14:paraId="057ED37A">
            <w:pPr>
              <w:widowControl/>
              <w:tabs>
                <w:tab w:val="center" w:pos="4201"/>
                <w:tab w:val="right" w:leader="dot" w:pos="9298"/>
              </w:tabs>
              <w:autoSpaceDE w:val="0"/>
              <w:autoSpaceDN w:val="0"/>
              <w:jc w:val="center"/>
              <w:rPr>
                <w:rFonts w:hint="eastAsia" w:ascii="宋体"/>
                <w:color w:val="000000"/>
                <w:kern w:val="0"/>
                <w:sz w:val="18"/>
                <w:szCs w:val="20"/>
              </w:rPr>
            </w:pPr>
            <w:r>
              <w:rPr>
                <w:rFonts w:hint="eastAsia" w:ascii="宋体"/>
                <w:color w:val="000000"/>
                <w:kern w:val="0"/>
                <w:sz w:val="18"/>
                <w:szCs w:val="20"/>
              </w:rPr>
              <w:t>Ⅱ级</w:t>
            </w:r>
          </w:p>
        </w:tc>
        <w:tc>
          <w:tcPr>
            <w:tcW w:w="1914" w:type="dxa"/>
            <w:noWrap w:val="0"/>
            <w:vAlign w:val="center"/>
          </w:tcPr>
          <w:p w14:paraId="7B63D322">
            <w:pPr>
              <w:widowControl/>
              <w:tabs>
                <w:tab w:val="center" w:pos="4201"/>
                <w:tab w:val="right" w:leader="dot" w:pos="9298"/>
              </w:tabs>
              <w:autoSpaceDE w:val="0"/>
              <w:autoSpaceDN w:val="0"/>
              <w:jc w:val="center"/>
              <w:rPr>
                <w:rFonts w:hint="eastAsia" w:ascii="宋体"/>
                <w:color w:val="000000"/>
                <w:kern w:val="0"/>
                <w:sz w:val="18"/>
                <w:szCs w:val="20"/>
              </w:rPr>
            </w:pPr>
            <w:r>
              <w:rPr>
                <w:rFonts w:hint="eastAsia" w:ascii="宋体"/>
                <w:color w:val="000000"/>
                <w:kern w:val="0"/>
                <w:sz w:val="18"/>
                <w:szCs w:val="20"/>
              </w:rPr>
              <w:t>0</w:t>
            </w:r>
            <w:r>
              <w:rPr>
                <w:rFonts w:ascii="宋体"/>
                <w:color w:val="000000"/>
                <w:kern w:val="0"/>
                <w:sz w:val="18"/>
                <w:szCs w:val="20"/>
              </w:rPr>
              <w:t>.4</w:t>
            </w:r>
            <w:r>
              <w:rPr>
                <w:rFonts w:hint="eastAsia" w:ascii="宋体"/>
                <w:color w:val="000000"/>
                <w:kern w:val="0"/>
                <w:sz w:val="18"/>
                <w:szCs w:val="20"/>
              </w:rPr>
              <w:t>～0</w:t>
            </w:r>
            <w:r>
              <w:rPr>
                <w:rFonts w:ascii="宋体"/>
                <w:color w:val="000000"/>
                <w:kern w:val="0"/>
                <w:sz w:val="18"/>
                <w:szCs w:val="20"/>
              </w:rPr>
              <w:t>.6</w:t>
            </w:r>
          </w:p>
        </w:tc>
        <w:tc>
          <w:tcPr>
            <w:tcW w:w="1914" w:type="dxa"/>
            <w:noWrap w:val="0"/>
            <w:vAlign w:val="center"/>
          </w:tcPr>
          <w:p w14:paraId="523CC116">
            <w:pPr>
              <w:widowControl/>
              <w:tabs>
                <w:tab w:val="center" w:pos="4201"/>
                <w:tab w:val="right" w:leader="dot" w:pos="9298"/>
              </w:tabs>
              <w:autoSpaceDE w:val="0"/>
              <w:autoSpaceDN w:val="0"/>
              <w:jc w:val="center"/>
              <w:rPr>
                <w:rFonts w:hint="eastAsia" w:ascii="宋体"/>
                <w:color w:val="000000"/>
                <w:kern w:val="0"/>
                <w:sz w:val="18"/>
                <w:szCs w:val="20"/>
              </w:rPr>
            </w:pPr>
            <w:r>
              <w:rPr>
                <w:rFonts w:hint="eastAsia" w:ascii="宋体"/>
                <w:color w:val="000000"/>
                <w:kern w:val="0"/>
                <w:sz w:val="18"/>
                <w:szCs w:val="20"/>
              </w:rPr>
              <w:t>3</w:t>
            </w:r>
            <w:r>
              <w:rPr>
                <w:rFonts w:ascii="宋体"/>
                <w:color w:val="000000"/>
                <w:kern w:val="0"/>
                <w:sz w:val="18"/>
                <w:szCs w:val="20"/>
              </w:rPr>
              <w:t>5</w:t>
            </w:r>
            <w:r>
              <w:rPr>
                <w:rFonts w:hint="eastAsia" w:ascii="宋体"/>
                <w:color w:val="000000"/>
                <w:kern w:val="0"/>
                <w:sz w:val="18"/>
                <w:szCs w:val="20"/>
              </w:rPr>
              <w:t>～5</w:t>
            </w:r>
            <w:r>
              <w:rPr>
                <w:rFonts w:ascii="宋体"/>
                <w:color w:val="000000"/>
                <w:kern w:val="0"/>
                <w:sz w:val="18"/>
                <w:szCs w:val="20"/>
              </w:rPr>
              <w:t>0</w:t>
            </w:r>
          </w:p>
        </w:tc>
        <w:tc>
          <w:tcPr>
            <w:tcW w:w="1915" w:type="dxa"/>
            <w:vMerge w:val="continue"/>
            <w:noWrap w:val="0"/>
            <w:vAlign w:val="top"/>
          </w:tcPr>
          <w:p w14:paraId="2CB1CA77">
            <w:pPr>
              <w:widowControl/>
              <w:tabs>
                <w:tab w:val="center" w:pos="4201"/>
                <w:tab w:val="right" w:leader="dot" w:pos="9298"/>
              </w:tabs>
              <w:autoSpaceDE w:val="0"/>
              <w:autoSpaceDN w:val="0"/>
              <w:rPr>
                <w:rFonts w:hint="eastAsia" w:ascii="宋体"/>
                <w:color w:val="000000"/>
                <w:kern w:val="0"/>
                <w:sz w:val="18"/>
                <w:szCs w:val="20"/>
              </w:rPr>
            </w:pPr>
          </w:p>
        </w:tc>
      </w:tr>
    </w:tbl>
    <w:p w14:paraId="31394BE9">
      <w:pPr>
        <w:widowControl/>
        <w:tabs>
          <w:tab w:val="center" w:pos="4201"/>
          <w:tab w:val="right" w:leader="dot" w:pos="9298"/>
        </w:tabs>
        <w:autoSpaceDE w:val="0"/>
        <w:autoSpaceDN w:val="0"/>
        <w:rPr>
          <w:rFonts w:hint="eastAsia" w:ascii="宋体"/>
          <w:color w:val="000000"/>
          <w:kern w:val="0"/>
          <w:szCs w:val="20"/>
        </w:rPr>
      </w:pPr>
    </w:p>
    <w:p w14:paraId="0C328941">
      <w:pPr>
        <w:pStyle w:val="70"/>
        <w:numPr>
          <w:ilvl w:val="1"/>
          <w:numId w:val="0"/>
        </w:numPr>
        <w:spacing w:before="312" w:after="312"/>
        <w:ind w:left="0" w:leftChars="0" w:firstLine="0" w:firstLineChars="0"/>
        <w:rPr>
          <w:rFonts w:hint="eastAsia"/>
          <w:color w:val="000000"/>
        </w:rPr>
      </w:pPr>
      <w:r>
        <w:rPr>
          <w:rFonts w:hint="eastAsia" w:ascii="黑体" w:hAnsi="Times New Roman" w:eastAsia="黑体"/>
          <w:b w:val="0"/>
          <w:i w:val="0"/>
          <w:snapToGrid/>
          <w:color w:val="000000"/>
          <w:spacing w:val="0"/>
          <w:w w:val="100"/>
          <w:kern w:val="21"/>
          <w:sz w:val="21"/>
          <w:lang w:val="en-US" w:eastAsia="zh-CN" w:bidi="ar-SA"/>
        </w:rPr>
        <w:t>B.2　</w:t>
      </w:r>
      <w:r>
        <w:rPr>
          <w:rFonts w:hint="eastAsia"/>
          <w:color w:val="000000"/>
        </w:rPr>
        <w:t>栽培技术</w:t>
      </w:r>
    </w:p>
    <w:p w14:paraId="44A9193A">
      <w:pPr>
        <w:pStyle w:val="69"/>
        <w:numPr>
          <w:ilvl w:val="2"/>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lang w:val="en-US" w:eastAsia="zh-CN" w:bidi="ar-SA"/>
        </w:rPr>
        <w:t>B.2.1　</w:t>
      </w:r>
      <w:r>
        <w:rPr>
          <w:rFonts w:hint="eastAsia"/>
          <w:color w:val="000000"/>
        </w:rPr>
        <w:t>整地</w:t>
      </w:r>
    </w:p>
    <w:p w14:paraId="0F1B7E7E">
      <w:pPr>
        <w:widowControl/>
        <w:tabs>
          <w:tab w:val="center" w:pos="4201"/>
          <w:tab w:val="right" w:leader="dot" w:pos="9298"/>
        </w:tabs>
        <w:autoSpaceDE w:val="0"/>
        <w:autoSpaceDN w:val="0"/>
        <w:ind w:firstLine="420" w:firstLineChars="200"/>
        <w:rPr>
          <w:rFonts w:ascii="宋体"/>
          <w:color w:val="000000"/>
          <w:kern w:val="0"/>
          <w:szCs w:val="20"/>
        </w:rPr>
      </w:pPr>
      <w:r>
        <w:rPr>
          <w:rFonts w:hint="eastAsia" w:ascii="宋体"/>
          <w:color w:val="000000"/>
          <w:kern w:val="0"/>
          <w:szCs w:val="20"/>
          <w:lang w:eastAsia="zh-CN"/>
        </w:rPr>
        <w:t>栽植</w:t>
      </w:r>
      <w:r>
        <w:rPr>
          <w:rFonts w:hint="eastAsia" w:ascii="宋体"/>
          <w:color w:val="000000"/>
          <w:kern w:val="0"/>
          <w:szCs w:val="20"/>
        </w:rPr>
        <w:t>前，全面清除杂草、灌木、树桩等。平坡、缓坡较平坦地采取全垦整地；坡度20°以上的山地，采用水平带</w:t>
      </w:r>
      <w:r>
        <w:rPr>
          <w:rFonts w:hint="eastAsia" w:ascii="宋体"/>
          <w:color w:val="000000"/>
          <w:kern w:val="0"/>
          <w:szCs w:val="20"/>
          <w:lang w:eastAsia="zh-CN"/>
        </w:rPr>
        <w:t>整地，水平带之间保留一定面积植被。深翻</w:t>
      </w:r>
      <w:r>
        <w:rPr>
          <w:rFonts w:hint="eastAsia" w:ascii="宋体"/>
          <w:color w:val="000000"/>
          <w:kern w:val="0"/>
          <w:szCs w:val="20"/>
        </w:rPr>
        <w:t>25</w:t>
      </w:r>
      <w:r>
        <w:rPr>
          <w:rFonts w:ascii="宋体"/>
          <w:color w:val="000000"/>
          <w:kern w:val="0"/>
          <w:szCs w:val="20"/>
        </w:rPr>
        <w:t>cm</w:t>
      </w:r>
      <w:r>
        <w:rPr>
          <w:rFonts w:hint="eastAsia" w:ascii="宋体"/>
          <w:color w:val="000000"/>
          <w:kern w:val="0"/>
          <w:szCs w:val="20"/>
        </w:rPr>
        <w:t>～30cm，按预定栽植株数挖穴，规格为</w:t>
      </w:r>
      <w:r>
        <w:rPr>
          <w:rFonts w:hint="eastAsia" w:ascii="宋体"/>
          <w:color w:val="000000"/>
          <w:kern w:val="0"/>
          <w:szCs w:val="20"/>
          <w:lang w:val="en-US" w:eastAsia="zh-CN"/>
        </w:rPr>
        <w:t xml:space="preserve">     </w:t>
      </w:r>
      <w:r>
        <w:rPr>
          <w:rFonts w:hint="eastAsia" w:ascii="宋体"/>
          <w:color w:val="000000"/>
          <w:kern w:val="0"/>
          <w:szCs w:val="20"/>
        </w:rPr>
        <w:t>40cm×40cm×30cm。</w:t>
      </w:r>
      <w:r>
        <w:rPr>
          <w:rFonts w:hint="eastAsia" w:ascii="宋体"/>
          <w:color w:val="000000"/>
          <w:kern w:val="0"/>
          <w:szCs w:val="20"/>
          <w:lang w:eastAsia="zh-CN"/>
        </w:rPr>
        <w:t>栽</w:t>
      </w:r>
      <w:r>
        <w:rPr>
          <w:rFonts w:hint="eastAsia" w:ascii="宋体"/>
          <w:color w:val="000000"/>
          <w:kern w:val="0"/>
          <w:szCs w:val="20"/>
        </w:rPr>
        <w:t>植前，每穴施腐熟有机肥3</w:t>
      </w:r>
      <w:r>
        <w:rPr>
          <w:rFonts w:ascii="宋体"/>
          <w:color w:val="000000"/>
          <w:kern w:val="0"/>
          <w:szCs w:val="20"/>
        </w:rPr>
        <w:t>kg</w:t>
      </w:r>
      <w:r>
        <w:rPr>
          <w:rFonts w:hint="eastAsia" w:ascii="宋体"/>
          <w:color w:val="000000"/>
          <w:kern w:val="0"/>
          <w:szCs w:val="20"/>
        </w:rPr>
        <w:t>～5kg、钙镁磷肥0.5</w:t>
      </w:r>
      <w:r>
        <w:rPr>
          <w:rFonts w:ascii="宋体"/>
          <w:color w:val="000000"/>
          <w:kern w:val="0"/>
          <w:szCs w:val="20"/>
        </w:rPr>
        <w:t>kg</w:t>
      </w:r>
      <w:r>
        <w:rPr>
          <w:rFonts w:hint="eastAsia" w:ascii="宋体"/>
          <w:color w:val="000000"/>
          <w:kern w:val="0"/>
          <w:szCs w:val="20"/>
        </w:rPr>
        <w:t>作基肥</w:t>
      </w:r>
      <w:r>
        <w:rPr>
          <w:rFonts w:hint="eastAsia" w:ascii="宋体"/>
          <w:color w:val="000000"/>
          <w:kern w:val="0"/>
          <w:szCs w:val="20"/>
          <w:lang w:eastAsia="zh-CN"/>
        </w:rPr>
        <w:t>，回填（覆）土</w:t>
      </w:r>
      <w:r>
        <w:rPr>
          <w:rFonts w:hint="eastAsia" w:ascii="宋体"/>
          <w:color w:val="000000"/>
          <w:kern w:val="0"/>
          <w:szCs w:val="20"/>
        </w:rPr>
        <w:t>。</w:t>
      </w:r>
    </w:p>
    <w:p w14:paraId="1A8A9D2E">
      <w:pPr>
        <w:pStyle w:val="69"/>
        <w:numPr>
          <w:ilvl w:val="2"/>
          <w:numId w:val="0"/>
        </w:numPr>
        <w:spacing w:before="156" w:after="156"/>
        <w:ind w:left="0" w:leftChars="0" w:firstLine="0" w:firstLineChars="0"/>
        <w:rPr>
          <w:color w:val="000000"/>
        </w:rPr>
      </w:pPr>
      <w:r>
        <w:rPr>
          <w:rFonts w:hint="eastAsia" w:ascii="黑体" w:hAnsi="Times New Roman" w:eastAsia="黑体"/>
          <w:b w:val="0"/>
          <w:i w:val="0"/>
          <w:color w:val="000000"/>
          <w:kern w:val="21"/>
          <w:sz w:val="21"/>
          <w:lang w:bidi="ar-SA"/>
        </w:rPr>
        <w:t>B.2.2　</w:t>
      </w:r>
      <w:r>
        <w:rPr>
          <w:rFonts w:hint="eastAsia" w:hAnsi="Times New Roman"/>
          <w:b w:val="0"/>
          <w:i w:val="0"/>
          <w:color w:val="000000"/>
          <w:kern w:val="21"/>
          <w:sz w:val="21"/>
          <w:lang w:eastAsia="zh-CN" w:bidi="ar-SA"/>
        </w:rPr>
        <w:t>栽植</w:t>
      </w:r>
      <w:r>
        <w:rPr>
          <w:color w:val="000000"/>
        </w:rPr>
        <w:t>密度</w:t>
      </w:r>
    </w:p>
    <w:p w14:paraId="0AD47500">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一般为行距2</w:t>
      </w:r>
      <w:r>
        <w:rPr>
          <w:rFonts w:ascii="宋体"/>
          <w:color w:val="000000"/>
          <w:kern w:val="0"/>
          <w:szCs w:val="20"/>
        </w:rPr>
        <w:t>m</w:t>
      </w:r>
      <w:r>
        <w:rPr>
          <w:rFonts w:hint="eastAsia" w:ascii="宋体"/>
          <w:color w:val="000000"/>
          <w:kern w:val="0"/>
          <w:szCs w:val="20"/>
        </w:rPr>
        <w:t>～3m，株距1.2</w:t>
      </w:r>
      <w:r>
        <w:rPr>
          <w:rFonts w:ascii="宋体"/>
          <w:color w:val="000000"/>
          <w:kern w:val="0"/>
          <w:szCs w:val="20"/>
        </w:rPr>
        <w:t>m</w:t>
      </w:r>
      <w:r>
        <w:rPr>
          <w:rFonts w:hint="eastAsia" w:ascii="宋体"/>
          <w:color w:val="000000"/>
          <w:kern w:val="0"/>
          <w:szCs w:val="20"/>
        </w:rPr>
        <w:t>～1.5m。</w:t>
      </w:r>
    </w:p>
    <w:p w14:paraId="2C6A1536">
      <w:pPr>
        <w:pStyle w:val="69"/>
        <w:numPr>
          <w:ilvl w:val="2"/>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lang w:val="en-US" w:eastAsia="zh-CN" w:bidi="ar-SA"/>
        </w:rPr>
        <w:t>B.2.3　</w:t>
      </w:r>
      <w:r>
        <w:rPr>
          <w:rFonts w:hint="eastAsia"/>
          <w:color w:val="000000"/>
        </w:rPr>
        <w:t>栽植要求</w:t>
      </w:r>
    </w:p>
    <w:p w14:paraId="17C04EC5">
      <w:pPr>
        <w:pStyle w:val="131"/>
        <w:numPr>
          <w:ilvl w:val="0"/>
          <w:numId w:val="0"/>
        </w:numPr>
        <w:ind w:left="420" w:leftChars="0" w:firstLine="420" w:firstLineChars="200"/>
        <w:rPr>
          <w:color w:val="000000"/>
        </w:rPr>
      </w:pPr>
      <w:r>
        <w:rPr>
          <w:rFonts w:hint="eastAsia"/>
          <w:color w:val="000000"/>
          <w:lang w:eastAsia="zh-CN"/>
        </w:rPr>
        <w:t>栽植</w:t>
      </w:r>
      <w:r>
        <w:rPr>
          <w:rFonts w:hint="eastAsia"/>
          <w:color w:val="000000"/>
        </w:rPr>
        <w:t>前，</w:t>
      </w:r>
      <w:r>
        <w:rPr>
          <w:rFonts w:hint="eastAsia"/>
          <w:color w:val="000000"/>
          <w:lang w:eastAsia="zh-CN"/>
        </w:rPr>
        <w:t>先</w:t>
      </w:r>
      <w:r>
        <w:rPr>
          <w:rFonts w:hint="eastAsia"/>
          <w:color w:val="000000"/>
        </w:rPr>
        <w:t>将幼苗适当修剪，</w:t>
      </w:r>
      <w:r>
        <w:rPr>
          <w:rFonts w:hint="eastAsia"/>
          <w:color w:val="000000"/>
          <w:lang w:eastAsia="zh-CN"/>
        </w:rPr>
        <w:t>地上部保留</w:t>
      </w:r>
      <w:r>
        <w:rPr>
          <w:rFonts w:hint="eastAsia"/>
          <w:color w:val="000000"/>
          <w:lang w:val="en-US" w:eastAsia="zh-CN"/>
        </w:rPr>
        <w:t>15cm</w:t>
      </w:r>
      <w:r>
        <w:rPr>
          <w:rFonts w:hint="eastAsia" w:ascii="宋体"/>
          <w:color w:val="000000"/>
          <w:kern w:val="0"/>
          <w:szCs w:val="20"/>
        </w:rPr>
        <w:t>～</w:t>
      </w:r>
      <w:r>
        <w:rPr>
          <w:rFonts w:hint="eastAsia"/>
          <w:color w:val="000000"/>
          <w:kern w:val="0"/>
          <w:szCs w:val="20"/>
          <w:lang w:val="en-US" w:eastAsia="zh-CN"/>
        </w:rPr>
        <w:t>20cm，再</w:t>
      </w:r>
      <w:r>
        <w:rPr>
          <w:rFonts w:hint="eastAsia"/>
          <w:color w:val="000000"/>
        </w:rPr>
        <w:t>用磷肥和黄泥浆蘸根。</w:t>
      </w:r>
      <w:r>
        <w:rPr>
          <w:rFonts w:hint="eastAsia"/>
          <w:color w:val="000000"/>
          <w:lang w:eastAsia="zh-CN"/>
        </w:rPr>
        <w:t>栽植时</w:t>
      </w:r>
      <w:r>
        <w:rPr>
          <w:rFonts w:hint="eastAsia"/>
          <w:color w:val="000000"/>
        </w:rPr>
        <w:t>，苗木栽植深度比原土痕深2</w:t>
      </w:r>
      <w:r>
        <w:rPr>
          <w:color w:val="000000"/>
        </w:rPr>
        <w:t>cm</w:t>
      </w:r>
      <w:r>
        <w:rPr>
          <w:rFonts w:hint="eastAsia"/>
          <w:color w:val="000000"/>
        </w:rPr>
        <w:t>～3cm，做到将苗扶正，根系舒展，使苗木根系与土密接；</w:t>
      </w:r>
    </w:p>
    <w:p w14:paraId="5BA87993">
      <w:pPr>
        <w:pStyle w:val="69"/>
        <w:numPr>
          <w:ilvl w:val="2"/>
          <w:numId w:val="0"/>
        </w:numPr>
        <w:spacing w:before="156" w:after="156"/>
        <w:ind w:left="0" w:leftChars="0" w:firstLine="0" w:firstLineChars="0"/>
        <w:rPr>
          <w:rFonts w:hint="eastAsia"/>
          <w:color w:val="000000"/>
        </w:rPr>
      </w:pPr>
      <w:r>
        <w:rPr>
          <w:rFonts w:hint="eastAsia" w:ascii="黑体" w:hAnsi="Times New Roman" w:eastAsia="黑体"/>
          <w:b w:val="0"/>
          <w:i w:val="0"/>
          <w:color w:val="000000"/>
          <w:kern w:val="21"/>
          <w:sz w:val="21"/>
          <w:lang w:val="en-US" w:eastAsia="zh-CN" w:bidi="ar-SA"/>
        </w:rPr>
        <w:t>B.2.4　</w:t>
      </w:r>
      <w:r>
        <w:rPr>
          <w:rFonts w:hint="eastAsia"/>
          <w:color w:val="000000"/>
        </w:rPr>
        <w:t>抚育管理</w:t>
      </w:r>
    </w:p>
    <w:p w14:paraId="6A3F8B80">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bidi="ar-SA"/>
        </w:rPr>
        <w:t>B.2.4.1　</w:t>
      </w:r>
      <w:r>
        <w:rPr>
          <w:rFonts w:hint="eastAsia"/>
          <w:color w:val="000000"/>
        </w:rPr>
        <w:t>补植</w:t>
      </w:r>
    </w:p>
    <w:p w14:paraId="27302CF7">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lang w:eastAsia="zh-CN"/>
        </w:rPr>
        <w:t>栽植</w:t>
      </w:r>
      <w:r>
        <w:rPr>
          <w:rFonts w:hint="eastAsia" w:ascii="宋体"/>
          <w:color w:val="000000"/>
          <w:kern w:val="0"/>
          <w:szCs w:val="20"/>
        </w:rPr>
        <w:t>当年，应对死苗穴进行补植。</w:t>
      </w:r>
    </w:p>
    <w:p w14:paraId="4BE99D7B">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val="en-US" w:eastAsia="zh-CN" w:bidi="ar-SA"/>
        </w:rPr>
        <w:t>B.2.4.2　</w:t>
      </w:r>
      <w:r>
        <w:rPr>
          <w:rFonts w:hint="eastAsia"/>
          <w:color w:val="000000"/>
        </w:rPr>
        <w:t>中耕除草</w:t>
      </w:r>
    </w:p>
    <w:p w14:paraId="63E7472A">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每年除草松土2次。第1次4月～6月，第2次8月～9月，结合施肥进行。松土时，注意近蔸浅，远蔸深。冠内深10</w:t>
      </w:r>
      <w:r>
        <w:rPr>
          <w:rFonts w:ascii="宋体"/>
          <w:color w:val="000000"/>
          <w:kern w:val="0"/>
          <w:szCs w:val="20"/>
        </w:rPr>
        <w:t>cm</w:t>
      </w:r>
      <w:r>
        <w:rPr>
          <w:rFonts w:hint="eastAsia" w:ascii="宋体"/>
          <w:color w:val="000000"/>
          <w:kern w:val="0"/>
          <w:szCs w:val="20"/>
        </w:rPr>
        <w:t>～12cm，冠外深15cm以上。进入结果期后，每年进行1次～2次松土除草。</w:t>
      </w:r>
    </w:p>
    <w:p w14:paraId="4120CC51">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bidi="ar-SA"/>
        </w:rPr>
        <w:t>B.2.4.3　</w:t>
      </w:r>
      <w:r>
        <w:rPr>
          <w:rFonts w:hint="eastAsia"/>
          <w:color w:val="000000"/>
        </w:rPr>
        <w:t>套种</w:t>
      </w:r>
    </w:p>
    <w:p w14:paraId="4A756284">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1年～3年的幼林，可在行间套种花生、豆类等矮秆农作物。</w:t>
      </w:r>
    </w:p>
    <w:p w14:paraId="61E9DB6A">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val="en-US" w:eastAsia="zh-CN" w:bidi="ar-SA"/>
        </w:rPr>
        <w:t>B.2.4.4　</w:t>
      </w:r>
      <w:r>
        <w:rPr>
          <w:rFonts w:hint="eastAsia"/>
          <w:color w:val="000000"/>
        </w:rPr>
        <w:t xml:space="preserve">施肥 </w:t>
      </w:r>
    </w:p>
    <w:p w14:paraId="65582B33">
      <w:pPr>
        <w:pStyle w:val="22"/>
        <w:rPr>
          <w:rFonts w:hint="eastAsia"/>
          <w:color w:val="000000"/>
        </w:rPr>
      </w:pPr>
      <w:r>
        <w:rPr>
          <w:rFonts w:hint="eastAsia"/>
          <w:color w:val="000000"/>
        </w:rPr>
        <w:t>施肥符合以下要求：</w:t>
      </w:r>
    </w:p>
    <w:p w14:paraId="7DE65679">
      <w:pPr>
        <w:pStyle w:val="131"/>
        <w:numPr>
          <w:ilvl w:val="0"/>
          <w:numId w:val="19"/>
        </w:numPr>
        <w:rPr>
          <w:color w:val="000000"/>
        </w:rPr>
      </w:pPr>
      <w:r>
        <w:rPr>
          <w:rFonts w:hint="eastAsia"/>
          <w:color w:val="000000"/>
        </w:rPr>
        <w:t>幼树：每年冬或次年2月前，施复合肥20</w:t>
      </w:r>
      <w:r>
        <w:rPr>
          <w:color w:val="000000"/>
        </w:rPr>
        <w:t xml:space="preserve"> kg</w:t>
      </w:r>
      <w:r>
        <w:rPr>
          <w:rFonts w:hint="eastAsia"/>
          <w:color w:val="000000"/>
        </w:rPr>
        <w:t>/</w:t>
      </w:r>
      <w:r>
        <w:rPr>
          <w:color w:val="000000"/>
        </w:rPr>
        <w:t>667 m</w:t>
      </w:r>
      <w:r>
        <w:rPr>
          <w:color w:val="000000"/>
          <w:vertAlign w:val="superscript"/>
        </w:rPr>
        <w:t>2</w:t>
      </w:r>
      <w:r>
        <w:rPr>
          <w:rFonts w:hint="eastAsia"/>
          <w:color w:val="000000"/>
        </w:rPr>
        <w:t>～25</w:t>
      </w:r>
      <w:r>
        <w:rPr>
          <w:color w:val="000000"/>
        </w:rPr>
        <w:t xml:space="preserve"> </w:t>
      </w:r>
      <w:r>
        <w:rPr>
          <w:rFonts w:hint="eastAsia"/>
          <w:color w:val="000000"/>
        </w:rPr>
        <w:t>kg/</w:t>
      </w:r>
      <w:r>
        <w:rPr>
          <w:color w:val="000000"/>
        </w:rPr>
        <w:t>667 m</w:t>
      </w:r>
      <w:r>
        <w:rPr>
          <w:color w:val="000000"/>
          <w:vertAlign w:val="superscript"/>
        </w:rPr>
        <w:t>2</w:t>
      </w:r>
      <w:r>
        <w:rPr>
          <w:rFonts w:hint="eastAsia"/>
          <w:color w:val="000000"/>
        </w:rPr>
        <w:t>，或施腐熟有机肥1000</w:t>
      </w:r>
      <w:r>
        <w:rPr>
          <w:color w:val="000000"/>
        </w:rPr>
        <w:t xml:space="preserve"> kg</w:t>
      </w:r>
      <w:r>
        <w:rPr>
          <w:rFonts w:hint="eastAsia"/>
          <w:color w:val="000000"/>
        </w:rPr>
        <w:t>/</w:t>
      </w:r>
      <w:r>
        <w:rPr>
          <w:color w:val="000000"/>
        </w:rPr>
        <w:t>667 m</w:t>
      </w:r>
      <w:r>
        <w:rPr>
          <w:color w:val="000000"/>
          <w:vertAlign w:val="superscript"/>
        </w:rPr>
        <w:t>2</w:t>
      </w:r>
      <w:r>
        <w:rPr>
          <w:rFonts w:hint="eastAsia"/>
          <w:color w:val="000000"/>
        </w:rPr>
        <w:t>～1500kg/</w:t>
      </w:r>
      <w:r>
        <w:rPr>
          <w:color w:val="000000"/>
        </w:rPr>
        <w:t>667m</w:t>
      </w:r>
      <w:r>
        <w:rPr>
          <w:color w:val="000000"/>
          <w:vertAlign w:val="superscript"/>
        </w:rPr>
        <w:t>2</w:t>
      </w:r>
      <w:r>
        <w:rPr>
          <w:rFonts w:hint="eastAsia"/>
          <w:color w:val="000000"/>
        </w:rPr>
        <w:t>。在春、夏季每株施复合肥10</w:t>
      </w:r>
      <w:r>
        <w:rPr>
          <w:color w:val="000000"/>
        </w:rPr>
        <w:t>g</w:t>
      </w:r>
      <w:r>
        <w:rPr>
          <w:rFonts w:hint="eastAsia"/>
          <w:color w:val="000000"/>
        </w:rPr>
        <w:t>～15g，促进幼树形成合理树体结构。</w:t>
      </w:r>
    </w:p>
    <w:p w14:paraId="26DE3489">
      <w:pPr>
        <w:pStyle w:val="131"/>
        <w:numPr>
          <w:ilvl w:val="0"/>
          <w:numId w:val="19"/>
        </w:numPr>
        <w:rPr>
          <w:rFonts w:hint="eastAsia"/>
          <w:color w:val="000000"/>
        </w:rPr>
      </w:pPr>
      <w:r>
        <w:rPr>
          <w:rFonts w:hint="eastAsia"/>
          <w:color w:val="000000"/>
        </w:rPr>
        <w:t>结果树：每年3月底～4月采取穴施，每株施尿素或碳酸铵15g。5月～6月，用0.15%硼砂加0.20%磷酸二氢钾喷叶面。应在6月下旬和8月上中旬，每株施用250g复合肥。采果后，施腐熟</w:t>
      </w:r>
      <w:r>
        <w:rPr>
          <w:rStyle w:val="38"/>
          <w:rFonts w:hint="eastAsia" w:ascii="Times New Roman"/>
          <w:color w:val="000000"/>
          <w:kern w:val="2"/>
        </w:rPr>
        <w:t>有机肥</w:t>
      </w:r>
      <w:r>
        <w:rPr>
          <w:rFonts w:hint="eastAsia"/>
          <w:color w:val="000000"/>
        </w:rPr>
        <w:t>2000kg/66</w:t>
      </w:r>
      <w:r>
        <w:rPr>
          <w:color w:val="000000"/>
        </w:rPr>
        <w:t>7</w:t>
      </w:r>
      <w:r>
        <w:rPr>
          <w:rFonts w:hint="eastAsia"/>
          <w:color w:val="000000"/>
        </w:rPr>
        <w:t>m</w:t>
      </w:r>
      <w:r>
        <w:rPr>
          <w:color w:val="000000"/>
          <w:vertAlign w:val="superscript"/>
        </w:rPr>
        <w:t>2</w:t>
      </w:r>
      <w:r>
        <w:rPr>
          <w:rFonts w:hint="eastAsia"/>
          <w:color w:val="000000"/>
        </w:rPr>
        <w:t>和钙镁磷肥100kg/66</w:t>
      </w:r>
      <w:r>
        <w:rPr>
          <w:color w:val="000000"/>
        </w:rPr>
        <w:t xml:space="preserve">7 </w:t>
      </w:r>
      <w:r>
        <w:rPr>
          <w:rFonts w:hint="eastAsia"/>
          <w:color w:val="000000"/>
        </w:rPr>
        <w:t>m</w:t>
      </w:r>
      <w:r>
        <w:rPr>
          <w:color w:val="000000"/>
          <w:vertAlign w:val="superscript"/>
        </w:rPr>
        <w:t>2</w:t>
      </w:r>
      <w:r>
        <w:rPr>
          <w:rFonts w:hint="eastAsia"/>
          <w:color w:val="000000"/>
        </w:rPr>
        <w:t>。</w:t>
      </w:r>
    </w:p>
    <w:p w14:paraId="3EEC24C0">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val="en-US" w:eastAsia="zh-CN" w:bidi="ar-SA"/>
        </w:rPr>
        <w:t>B.2.4.5　</w:t>
      </w:r>
      <w:r>
        <w:rPr>
          <w:rFonts w:hint="eastAsia"/>
          <w:color w:val="000000"/>
        </w:rPr>
        <w:t xml:space="preserve">排灌 </w:t>
      </w:r>
    </w:p>
    <w:p w14:paraId="19665635">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雨季注意低洼处应及时清沟排水，夏秋季出现严重干旱时有条件灌水。</w:t>
      </w:r>
    </w:p>
    <w:p w14:paraId="728A549B">
      <w:pPr>
        <w:pStyle w:val="48"/>
        <w:numPr>
          <w:ilvl w:val="3"/>
          <w:numId w:val="0"/>
        </w:numPr>
        <w:spacing w:before="156" w:after="156"/>
        <w:ind w:left="0" w:leftChars="0" w:firstLine="0" w:firstLineChars="0"/>
        <w:rPr>
          <w:color w:val="000000"/>
        </w:rPr>
      </w:pPr>
      <w:r>
        <w:rPr>
          <w:rFonts w:hint="eastAsia" w:ascii="黑体" w:hAnsi="Times New Roman" w:eastAsia="黑体"/>
          <w:b w:val="0"/>
          <w:i w:val="0"/>
          <w:color w:val="000000"/>
          <w:kern w:val="21"/>
          <w:sz w:val="21"/>
          <w:szCs w:val="20"/>
          <w:lang w:val="en-US" w:eastAsia="zh-CN" w:bidi="ar-SA"/>
        </w:rPr>
        <w:t>B.2.4.6　</w:t>
      </w:r>
      <w:r>
        <w:rPr>
          <w:rFonts w:hint="eastAsia"/>
          <w:color w:val="000000"/>
        </w:rPr>
        <w:t xml:space="preserve">整形与修剪 </w:t>
      </w:r>
    </w:p>
    <w:p w14:paraId="4E7F59F1">
      <w:pPr>
        <w:pStyle w:val="22"/>
        <w:rPr>
          <w:rFonts w:hint="eastAsia"/>
          <w:color w:val="000000"/>
        </w:rPr>
      </w:pPr>
      <w:r>
        <w:rPr>
          <w:rFonts w:hint="eastAsia"/>
          <w:color w:val="000000"/>
        </w:rPr>
        <w:t>整形与修剪符合以下要求：</w:t>
      </w:r>
    </w:p>
    <w:p w14:paraId="39F2BE86">
      <w:pPr>
        <w:pStyle w:val="131"/>
        <w:numPr>
          <w:ilvl w:val="0"/>
          <w:numId w:val="20"/>
        </w:numPr>
        <w:rPr>
          <w:rFonts w:hint="eastAsia"/>
          <w:color w:val="000000"/>
        </w:rPr>
      </w:pPr>
      <w:r>
        <w:rPr>
          <w:rFonts w:hint="eastAsia"/>
          <w:color w:val="000000"/>
        </w:rPr>
        <w:t>幼树整形：</w:t>
      </w:r>
      <w:r>
        <w:rPr>
          <w:rFonts w:hint="eastAsia"/>
          <w:color w:val="000000"/>
          <w:lang w:eastAsia="zh-CN"/>
        </w:rPr>
        <w:t>修剪整形成圆头状</w:t>
      </w:r>
      <w:r>
        <w:rPr>
          <w:rFonts w:hint="eastAsia"/>
          <w:color w:val="000000"/>
        </w:rPr>
        <w:t>树冠。定植2年内，对主干、主枝应抹芽除蘖，剪除下部萌蘖和摘除花芽。第3年可适当留果。在9月～10月应摘除花蕾。树高控制在1.5</w:t>
      </w:r>
      <w:r>
        <w:rPr>
          <w:color w:val="000000"/>
        </w:rPr>
        <w:t>m</w:t>
      </w:r>
      <w:r>
        <w:rPr>
          <w:rFonts w:hint="eastAsia"/>
          <w:color w:val="000000"/>
        </w:rPr>
        <w:t>～1.6m；</w:t>
      </w:r>
    </w:p>
    <w:p w14:paraId="7CA472F3">
      <w:pPr>
        <w:pStyle w:val="131"/>
        <w:numPr>
          <w:ilvl w:val="0"/>
          <w:numId w:val="20"/>
        </w:numPr>
        <w:rPr>
          <w:rFonts w:hint="eastAsia"/>
          <w:color w:val="000000"/>
        </w:rPr>
      </w:pPr>
      <w:r>
        <w:rPr>
          <w:rFonts w:hint="eastAsia"/>
          <w:color w:val="000000"/>
        </w:rPr>
        <w:t>结果树修剪：应以疏为主，宜在冬季或次年春季发芽前20d进行。修剪时，先抹去根茎部和主干、主枝以上的萌芽，后疏去冠内枯枝、病虫、交叉、重叠、密生、下垂、衰老与徒长等枝，使冠内枝条分布均匀，内疏外密。</w:t>
      </w:r>
    </w:p>
    <w:p w14:paraId="6808AF1D">
      <w:pPr>
        <w:pStyle w:val="70"/>
        <w:numPr>
          <w:ilvl w:val="1"/>
          <w:numId w:val="0"/>
        </w:numPr>
        <w:spacing w:before="312" w:after="312"/>
        <w:ind w:left="0" w:leftChars="0" w:firstLine="0" w:firstLineChars="0"/>
        <w:rPr>
          <w:rFonts w:ascii="宋体"/>
          <w:color w:val="000000"/>
          <w:kern w:val="0"/>
        </w:rPr>
      </w:pPr>
      <w:r>
        <w:rPr>
          <w:rFonts w:hint="eastAsia" w:ascii="黑体" w:hAnsi="Times New Roman" w:eastAsia="黑体"/>
          <w:b w:val="0"/>
          <w:i w:val="0"/>
          <w:snapToGrid/>
          <w:color w:val="000000"/>
          <w:spacing w:val="0"/>
          <w:w w:val="100"/>
          <w:kern w:val="21"/>
          <w:sz w:val="21"/>
          <w:lang w:bidi="ar-SA"/>
        </w:rPr>
        <w:t>B.3　</w:t>
      </w:r>
      <w:r>
        <w:rPr>
          <w:rFonts w:hint="eastAsia"/>
          <w:color w:val="000000"/>
        </w:rPr>
        <w:t xml:space="preserve">病虫害防治 </w:t>
      </w:r>
    </w:p>
    <w:p w14:paraId="7A2F92EE">
      <w:pPr>
        <w:pStyle w:val="69"/>
        <w:numPr>
          <w:ilvl w:val="2"/>
          <w:numId w:val="0"/>
        </w:numPr>
        <w:spacing w:before="156" w:after="156"/>
        <w:ind w:left="0" w:leftChars="0" w:firstLine="0" w:firstLineChars="0"/>
        <w:rPr>
          <w:color w:val="000000"/>
        </w:rPr>
      </w:pPr>
      <w:r>
        <w:rPr>
          <w:rFonts w:hint="eastAsia" w:ascii="黑体" w:hAnsi="Times New Roman" w:eastAsia="黑体"/>
          <w:b w:val="0"/>
          <w:i w:val="0"/>
          <w:color w:val="000000"/>
          <w:kern w:val="21"/>
          <w:sz w:val="21"/>
          <w:lang w:bidi="ar-SA"/>
        </w:rPr>
        <w:t>B.3.1　</w:t>
      </w:r>
      <w:r>
        <w:rPr>
          <w:rFonts w:hint="eastAsia"/>
          <w:color w:val="000000"/>
        </w:rPr>
        <w:t>防治原则</w:t>
      </w:r>
    </w:p>
    <w:p w14:paraId="3BAD7B84">
      <w:pPr>
        <w:widowControl/>
        <w:tabs>
          <w:tab w:val="center" w:pos="4201"/>
          <w:tab w:val="right" w:leader="dot" w:pos="9298"/>
        </w:tabs>
        <w:autoSpaceDE w:val="0"/>
        <w:autoSpaceDN w:val="0"/>
        <w:ind w:firstLine="420" w:firstLineChars="200"/>
        <w:rPr>
          <w:rFonts w:ascii="宋体"/>
          <w:color w:val="000000"/>
          <w:kern w:val="0"/>
          <w:szCs w:val="20"/>
        </w:rPr>
      </w:pPr>
      <w:r>
        <w:rPr>
          <w:rFonts w:hint="eastAsia" w:ascii="宋体"/>
          <w:color w:val="000000"/>
          <w:kern w:val="0"/>
          <w:szCs w:val="20"/>
        </w:rPr>
        <w:t>以生物防治为主，化学防治为辅。化学防治应选用低毒、低残留的农药，且在采果前30d不施农药。</w:t>
      </w:r>
    </w:p>
    <w:p w14:paraId="751ACB30">
      <w:pPr>
        <w:pStyle w:val="69"/>
        <w:numPr>
          <w:ilvl w:val="2"/>
          <w:numId w:val="0"/>
        </w:numPr>
        <w:spacing w:before="156" w:after="156"/>
        <w:ind w:left="0" w:leftChars="0" w:firstLine="0" w:firstLineChars="0"/>
        <w:rPr>
          <w:color w:val="000000"/>
        </w:rPr>
      </w:pPr>
      <w:r>
        <w:rPr>
          <w:rFonts w:hint="eastAsia" w:ascii="黑体" w:hAnsi="Times New Roman" w:eastAsia="黑体"/>
          <w:b w:val="0"/>
          <w:i w:val="0"/>
          <w:color w:val="000000"/>
          <w:kern w:val="21"/>
          <w:sz w:val="21"/>
          <w:lang w:bidi="ar-SA"/>
        </w:rPr>
        <w:t>B.3.2　</w:t>
      </w:r>
      <w:r>
        <w:rPr>
          <w:rFonts w:hint="eastAsia"/>
          <w:color w:val="000000"/>
        </w:rPr>
        <w:t>防治方法</w:t>
      </w:r>
    </w:p>
    <w:p w14:paraId="18FB8481">
      <w:pPr>
        <w:widowControl/>
        <w:tabs>
          <w:tab w:val="center" w:pos="4201"/>
          <w:tab w:val="right" w:leader="dot" w:pos="9298"/>
        </w:tabs>
        <w:autoSpaceDE w:val="0"/>
        <w:autoSpaceDN w:val="0"/>
        <w:ind w:firstLine="420" w:firstLineChars="200"/>
        <w:rPr>
          <w:rFonts w:hint="eastAsia" w:ascii="宋体"/>
          <w:color w:val="000000"/>
          <w:kern w:val="0"/>
          <w:szCs w:val="20"/>
        </w:rPr>
      </w:pPr>
      <w:r>
        <w:rPr>
          <w:rFonts w:hint="eastAsia" w:ascii="宋体"/>
          <w:color w:val="000000"/>
          <w:kern w:val="0"/>
          <w:szCs w:val="20"/>
        </w:rPr>
        <w:t>主要病虫害的防治方法见下表：</w:t>
      </w:r>
    </w:p>
    <w:p w14:paraId="667A51CF">
      <w:pPr>
        <w:pStyle w:val="100"/>
        <w:numPr>
          <w:ilvl w:val="1"/>
          <w:numId w:val="0"/>
        </w:numPr>
        <w:spacing w:before="156" w:after="156"/>
        <w:ind w:left="0" w:leftChars="0" w:firstLine="0" w:firstLineChars="0"/>
        <w:rPr>
          <w:color w:val="000000"/>
        </w:rPr>
      </w:pPr>
      <w:r>
        <w:rPr>
          <w:rFonts w:hint="eastAsia" w:ascii="黑体" w:eastAsia="黑体"/>
          <w:color w:val="000000"/>
          <w:kern w:val="2"/>
          <w:sz w:val="21"/>
          <w:szCs w:val="21"/>
          <w:lang w:val="en-US" w:eastAsia="zh-CN" w:bidi="ar-SA"/>
        </w:rPr>
        <w:t>表</w:t>
      </w:r>
      <w:r>
        <w:rPr>
          <w:rFonts w:hint="eastAsia"/>
          <w:color w:val="000000"/>
          <w:kern w:val="2"/>
          <w:sz w:val="21"/>
          <w:szCs w:val="21"/>
          <w:lang w:val="en-US" w:eastAsia="zh-CN" w:bidi="ar-SA"/>
        </w:rPr>
        <w:t>B</w:t>
      </w:r>
      <w:r>
        <w:rPr>
          <w:rFonts w:hint="eastAsia" w:ascii="黑体" w:eastAsia="黑体"/>
          <w:color w:val="000000"/>
          <w:kern w:val="2"/>
          <w:sz w:val="21"/>
          <w:szCs w:val="21"/>
          <w:lang w:val="en-US" w:eastAsia="zh-CN" w:bidi="ar-SA"/>
        </w:rPr>
        <w:t>.2　</w:t>
      </w:r>
      <w:r>
        <w:rPr>
          <w:rFonts w:hint="eastAsia"/>
          <w:color w:val="000000"/>
        </w:rPr>
        <w:t>主要病虫害防治方法</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3686"/>
        <w:gridCol w:w="4076"/>
      </w:tblGrid>
      <w:tr w14:paraId="2898B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809" w:type="dxa"/>
            <w:noWrap w:val="0"/>
            <w:vAlign w:val="center"/>
          </w:tcPr>
          <w:p w14:paraId="4E68037B">
            <w:pPr>
              <w:pStyle w:val="22"/>
              <w:ind w:firstLine="0" w:firstLineChars="0"/>
              <w:jc w:val="center"/>
              <w:rPr>
                <w:rFonts w:hint="eastAsia"/>
                <w:color w:val="000000"/>
                <w:sz w:val="18"/>
                <w:szCs w:val="18"/>
              </w:rPr>
            </w:pPr>
            <w:r>
              <w:rPr>
                <w:rFonts w:hint="eastAsia"/>
                <w:color w:val="000000"/>
                <w:sz w:val="18"/>
                <w:szCs w:val="18"/>
              </w:rPr>
              <w:t>病虫害名称</w:t>
            </w:r>
          </w:p>
        </w:tc>
        <w:tc>
          <w:tcPr>
            <w:tcW w:w="3686" w:type="dxa"/>
            <w:noWrap w:val="0"/>
            <w:vAlign w:val="center"/>
          </w:tcPr>
          <w:p w14:paraId="3B46CFEA">
            <w:pPr>
              <w:pStyle w:val="22"/>
              <w:ind w:firstLine="0" w:firstLineChars="0"/>
              <w:jc w:val="center"/>
              <w:rPr>
                <w:rFonts w:hint="eastAsia" w:eastAsia="宋体"/>
                <w:color w:val="000000"/>
                <w:sz w:val="18"/>
                <w:szCs w:val="18"/>
                <w:lang w:eastAsia="zh-CN"/>
              </w:rPr>
            </w:pPr>
            <w:r>
              <w:rPr>
                <w:rFonts w:hint="eastAsia"/>
                <w:color w:val="000000"/>
                <w:sz w:val="18"/>
                <w:szCs w:val="18"/>
              </w:rPr>
              <w:t>危害</w:t>
            </w:r>
            <w:r>
              <w:rPr>
                <w:rFonts w:hint="eastAsia"/>
                <w:color w:val="000000"/>
                <w:sz w:val="18"/>
                <w:szCs w:val="18"/>
                <w:lang w:eastAsia="zh-CN"/>
              </w:rPr>
              <w:t>的症状</w:t>
            </w:r>
          </w:p>
        </w:tc>
        <w:tc>
          <w:tcPr>
            <w:tcW w:w="4076" w:type="dxa"/>
            <w:noWrap w:val="0"/>
            <w:vAlign w:val="center"/>
          </w:tcPr>
          <w:p w14:paraId="3F7697E0">
            <w:pPr>
              <w:pStyle w:val="22"/>
              <w:ind w:firstLine="0" w:firstLineChars="0"/>
              <w:jc w:val="center"/>
              <w:rPr>
                <w:rFonts w:hint="eastAsia"/>
                <w:color w:val="000000"/>
                <w:sz w:val="18"/>
                <w:szCs w:val="18"/>
              </w:rPr>
            </w:pPr>
            <w:r>
              <w:rPr>
                <w:rFonts w:hint="eastAsia"/>
                <w:color w:val="000000"/>
                <w:sz w:val="18"/>
                <w:szCs w:val="18"/>
              </w:rPr>
              <w:t>防止方法</w:t>
            </w:r>
          </w:p>
        </w:tc>
      </w:tr>
      <w:tr w14:paraId="480D9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noWrap w:val="0"/>
            <w:vAlign w:val="center"/>
          </w:tcPr>
          <w:p w14:paraId="79672E22">
            <w:pPr>
              <w:pStyle w:val="22"/>
              <w:ind w:firstLine="0" w:firstLineChars="0"/>
              <w:rPr>
                <w:rFonts w:hint="eastAsia"/>
                <w:color w:val="000000"/>
                <w:sz w:val="18"/>
                <w:szCs w:val="18"/>
              </w:rPr>
            </w:pPr>
            <w:r>
              <w:rPr>
                <w:rFonts w:hint="eastAsia"/>
                <w:color w:val="000000"/>
                <w:sz w:val="18"/>
                <w:szCs w:val="18"/>
              </w:rPr>
              <w:t>褐纹斑病</w:t>
            </w:r>
          </w:p>
        </w:tc>
        <w:tc>
          <w:tcPr>
            <w:tcW w:w="3686" w:type="dxa"/>
            <w:noWrap w:val="0"/>
            <w:vAlign w:val="center"/>
          </w:tcPr>
          <w:p w14:paraId="3BAE0387">
            <w:pPr>
              <w:pStyle w:val="22"/>
              <w:ind w:firstLine="0" w:firstLineChars="0"/>
              <w:rPr>
                <w:color w:val="000000"/>
                <w:sz w:val="18"/>
                <w:szCs w:val="18"/>
              </w:rPr>
            </w:pPr>
            <w:r>
              <w:rPr>
                <w:rFonts w:hint="eastAsia"/>
                <w:color w:val="000000"/>
                <w:sz w:val="18"/>
                <w:szCs w:val="18"/>
              </w:rPr>
              <w:t>①危害叶和果；</w:t>
            </w:r>
          </w:p>
          <w:p w14:paraId="40C38ADF">
            <w:pPr>
              <w:pStyle w:val="22"/>
              <w:ind w:firstLine="0" w:firstLineChars="0"/>
              <w:rPr>
                <w:rFonts w:hint="eastAsia"/>
                <w:color w:val="000000"/>
                <w:sz w:val="18"/>
                <w:szCs w:val="18"/>
              </w:rPr>
            </w:pPr>
            <w:r>
              <w:rPr>
                <w:rFonts w:hint="eastAsia"/>
                <w:color w:val="000000"/>
                <w:sz w:val="18"/>
                <w:szCs w:val="18"/>
              </w:rPr>
              <w:t>②发病严重时植株叶片失绿，变黄或褐色，导致叶片脱落，引起早期落果，严重影响产量。</w:t>
            </w:r>
          </w:p>
        </w:tc>
        <w:tc>
          <w:tcPr>
            <w:tcW w:w="4076" w:type="dxa"/>
            <w:noWrap w:val="0"/>
            <w:vAlign w:val="center"/>
          </w:tcPr>
          <w:p w14:paraId="569A48A7">
            <w:pPr>
              <w:pStyle w:val="22"/>
              <w:ind w:firstLine="0" w:firstLineChars="0"/>
              <w:rPr>
                <w:color w:val="000000"/>
                <w:sz w:val="18"/>
                <w:szCs w:val="18"/>
              </w:rPr>
            </w:pPr>
            <w:r>
              <w:rPr>
                <w:rFonts w:hint="eastAsia"/>
                <w:color w:val="000000"/>
                <w:sz w:val="18"/>
                <w:szCs w:val="18"/>
              </w:rPr>
              <w:t>①加强修剪，烧毁病株、病叶，防止病害蔓延与传播；</w:t>
            </w:r>
          </w:p>
          <w:p w14:paraId="50F1065E">
            <w:pPr>
              <w:pStyle w:val="22"/>
              <w:ind w:firstLine="0" w:firstLineChars="0"/>
              <w:rPr>
                <w:rFonts w:hint="eastAsia"/>
                <w:color w:val="000000"/>
                <w:sz w:val="18"/>
                <w:szCs w:val="18"/>
              </w:rPr>
            </w:pPr>
            <w:r>
              <w:rPr>
                <w:rFonts w:hint="eastAsia"/>
                <w:color w:val="000000"/>
                <w:sz w:val="18"/>
                <w:szCs w:val="18"/>
              </w:rPr>
              <w:t>②5月下旬和8月上旬发病前，用1:1:100波尔多液或50%甲</w:t>
            </w:r>
            <w:r>
              <w:rPr>
                <w:rFonts w:hint="eastAsia"/>
                <w:color w:val="000000"/>
                <w:sz w:val="18"/>
                <w:szCs w:val="18"/>
                <w:lang w:eastAsia="zh-CN"/>
              </w:rPr>
              <w:t>硫菌灵</w:t>
            </w:r>
            <w:r>
              <w:rPr>
                <w:rFonts w:hint="eastAsia"/>
                <w:color w:val="000000"/>
                <w:sz w:val="18"/>
                <w:szCs w:val="18"/>
              </w:rPr>
              <w:t>1000倍～1500倍液每隔10d</w:t>
            </w:r>
            <w:r>
              <w:rPr>
                <w:rFonts w:hint="eastAsia"/>
                <w:color w:val="000000"/>
                <w:sz w:val="18"/>
                <w:szCs w:val="18"/>
                <w:lang w:val="en-US" w:eastAsia="zh-CN"/>
              </w:rPr>
              <w:t xml:space="preserve"> </w:t>
            </w:r>
            <w:r>
              <w:rPr>
                <w:rFonts w:hint="eastAsia"/>
                <w:color w:val="000000"/>
                <w:sz w:val="18"/>
                <w:szCs w:val="18"/>
              </w:rPr>
              <w:t>喷1次，连喷2次～3次。</w:t>
            </w:r>
          </w:p>
        </w:tc>
      </w:tr>
      <w:tr w14:paraId="06F32A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noWrap w:val="0"/>
            <w:vAlign w:val="center"/>
          </w:tcPr>
          <w:p w14:paraId="3423228D">
            <w:pPr>
              <w:pStyle w:val="22"/>
              <w:ind w:firstLine="0" w:firstLineChars="0"/>
              <w:rPr>
                <w:rFonts w:hint="eastAsia"/>
                <w:color w:val="000000"/>
                <w:sz w:val="18"/>
                <w:szCs w:val="18"/>
              </w:rPr>
            </w:pPr>
            <w:r>
              <w:rPr>
                <w:rFonts w:hint="eastAsia"/>
                <w:color w:val="000000"/>
                <w:sz w:val="18"/>
                <w:szCs w:val="18"/>
              </w:rPr>
              <w:t>栀子卷叶螟</w:t>
            </w:r>
          </w:p>
        </w:tc>
        <w:tc>
          <w:tcPr>
            <w:tcW w:w="3686" w:type="dxa"/>
            <w:noWrap w:val="0"/>
            <w:vAlign w:val="center"/>
          </w:tcPr>
          <w:p w14:paraId="34B9584E">
            <w:pPr>
              <w:pStyle w:val="22"/>
              <w:ind w:firstLine="0" w:firstLineChars="0"/>
              <w:rPr>
                <w:color w:val="000000"/>
                <w:sz w:val="18"/>
                <w:szCs w:val="18"/>
              </w:rPr>
            </w:pPr>
            <w:r>
              <w:rPr>
                <w:rFonts w:hint="eastAsia"/>
                <w:color w:val="000000"/>
                <w:sz w:val="18"/>
                <w:szCs w:val="18"/>
              </w:rPr>
              <w:t>①幼虫危害春、夏、秋梢；</w:t>
            </w:r>
          </w:p>
          <w:p w14:paraId="30446E73">
            <w:pPr>
              <w:pStyle w:val="22"/>
              <w:ind w:firstLine="0" w:firstLineChars="0"/>
              <w:rPr>
                <w:rFonts w:hint="eastAsia"/>
                <w:color w:val="000000"/>
                <w:sz w:val="18"/>
                <w:szCs w:val="18"/>
              </w:rPr>
            </w:pPr>
            <w:r>
              <w:rPr>
                <w:rFonts w:hint="eastAsia"/>
                <w:color w:val="000000"/>
                <w:sz w:val="18"/>
                <w:szCs w:val="18"/>
              </w:rPr>
              <w:t>②如遇虫口密度高峰期，危害后使翌年花芽萌发减少，产量显著下降。</w:t>
            </w:r>
          </w:p>
        </w:tc>
        <w:tc>
          <w:tcPr>
            <w:tcW w:w="4076" w:type="dxa"/>
            <w:noWrap w:val="0"/>
            <w:vAlign w:val="center"/>
          </w:tcPr>
          <w:p w14:paraId="64D405D5">
            <w:pPr>
              <w:pStyle w:val="22"/>
              <w:ind w:firstLine="0" w:firstLineChars="0"/>
              <w:rPr>
                <w:rFonts w:hint="eastAsia"/>
                <w:color w:val="000000"/>
                <w:sz w:val="18"/>
                <w:szCs w:val="18"/>
              </w:rPr>
            </w:pPr>
            <w:r>
              <w:rPr>
                <w:rFonts w:hint="eastAsia"/>
                <w:color w:val="000000"/>
                <w:sz w:val="18"/>
                <w:szCs w:val="18"/>
              </w:rPr>
              <w:t>用杀虫螟杆菌（每g含活孢子100亿个以上）100倍液喷雾，或用90%敌百虫1000倍液喷洒。</w:t>
            </w:r>
          </w:p>
        </w:tc>
      </w:tr>
      <w:tr w14:paraId="32449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noWrap w:val="0"/>
            <w:vAlign w:val="center"/>
          </w:tcPr>
          <w:p w14:paraId="68E90166">
            <w:pPr>
              <w:pStyle w:val="22"/>
              <w:ind w:firstLine="0" w:firstLineChars="0"/>
              <w:rPr>
                <w:rFonts w:hint="eastAsia"/>
                <w:color w:val="000000"/>
                <w:sz w:val="18"/>
                <w:szCs w:val="18"/>
              </w:rPr>
            </w:pPr>
            <w:r>
              <w:rPr>
                <w:rFonts w:hint="eastAsia"/>
                <w:color w:val="000000"/>
                <w:sz w:val="18"/>
                <w:szCs w:val="18"/>
              </w:rPr>
              <w:t>咖啡透翅蛾</w:t>
            </w:r>
          </w:p>
        </w:tc>
        <w:tc>
          <w:tcPr>
            <w:tcW w:w="3686" w:type="dxa"/>
            <w:noWrap w:val="0"/>
            <w:vAlign w:val="center"/>
          </w:tcPr>
          <w:p w14:paraId="1B8D5274">
            <w:pPr>
              <w:pStyle w:val="22"/>
              <w:ind w:firstLine="0" w:firstLineChars="0"/>
              <w:rPr>
                <w:rFonts w:hint="eastAsia"/>
                <w:color w:val="000000"/>
                <w:sz w:val="18"/>
                <w:szCs w:val="18"/>
              </w:rPr>
            </w:pPr>
            <w:r>
              <w:rPr>
                <w:rFonts w:hint="eastAsia"/>
                <w:color w:val="000000"/>
                <w:sz w:val="18"/>
                <w:szCs w:val="18"/>
              </w:rPr>
              <w:t>幼虫危害叶片、花蕾。</w:t>
            </w:r>
          </w:p>
        </w:tc>
        <w:tc>
          <w:tcPr>
            <w:tcW w:w="4076" w:type="dxa"/>
            <w:noWrap w:val="0"/>
            <w:vAlign w:val="center"/>
          </w:tcPr>
          <w:p w14:paraId="2A3E109F">
            <w:pPr>
              <w:pStyle w:val="22"/>
              <w:ind w:firstLine="0" w:firstLineChars="0"/>
              <w:rPr>
                <w:color w:val="000000"/>
                <w:sz w:val="18"/>
                <w:szCs w:val="18"/>
              </w:rPr>
            </w:pPr>
            <w:r>
              <w:rPr>
                <w:rFonts w:hint="eastAsia"/>
                <w:color w:val="000000"/>
                <w:sz w:val="18"/>
                <w:szCs w:val="18"/>
              </w:rPr>
              <w:t>①冬季垦复园区1次，使蛹暴露表土，被天敌所食或人工捕杀；</w:t>
            </w:r>
          </w:p>
          <w:p w14:paraId="50A162F1">
            <w:pPr>
              <w:pStyle w:val="22"/>
              <w:ind w:firstLine="0" w:firstLineChars="0"/>
              <w:rPr>
                <w:rFonts w:hint="eastAsia"/>
                <w:color w:val="000000"/>
                <w:sz w:val="18"/>
                <w:szCs w:val="18"/>
              </w:rPr>
            </w:pPr>
            <w:r>
              <w:rPr>
                <w:rFonts w:hint="eastAsia"/>
                <w:color w:val="000000"/>
                <w:sz w:val="18"/>
                <w:szCs w:val="18"/>
              </w:rPr>
              <w:t>②用阿维菌素500倍～800倍液、杀虫螟杆菌（每g含活孢子100亿个以上）100倍液生物农药喷雾。也可</w:t>
            </w:r>
            <w:r>
              <w:rPr>
                <w:rFonts w:hint="eastAsia"/>
                <w:color w:val="000000"/>
                <w:sz w:val="18"/>
                <w:szCs w:val="18"/>
                <w:lang w:eastAsia="zh-CN"/>
              </w:rPr>
              <w:t>使</w:t>
            </w:r>
            <w:r>
              <w:rPr>
                <w:rFonts w:hint="eastAsia"/>
                <w:color w:val="000000"/>
                <w:sz w:val="18"/>
                <w:szCs w:val="18"/>
              </w:rPr>
              <w:t>用</w:t>
            </w:r>
            <w:r>
              <w:rPr>
                <w:rFonts w:hint="eastAsia"/>
                <w:color w:val="000000"/>
                <w:sz w:val="18"/>
                <w:szCs w:val="18"/>
                <w:lang w:eastAsia="zh-CN"/>
              </w:rPr>
              <w:t>拟除虫菊酯类农药。</w:t>
            </w:r>
          </w:p>
        </w:tc>
      </w:tr>
    </w:tbl>
    <w:p w14:paraId="56EC014B">
      <w:pPr>
        <w:pStyle w:val="22"/>
        <w:rPr>
          <w:rFonts w:hint="eastAsia"/>
          <w:color w:val="000000"/>
        </w:rPr>
      </w:pPr>
    </w:p>
    <w:p w14:paraId="40CEDEB7">
      <w:pPr>
        <w:pStyle w:val="22"/>
        <w:rPr>
          <w:color w:val="000000"/>
        </w:rPr>
      </w:pPr>
    </w:p>
    <w:p w14:paraId="5CE83072">
      <w:pPr>
        <w:pStyle w:val="112"/>
        <w:rPr>
          <w:rFonts w:hint="eastAsia"/>
          <w:color w:val="000000"/>
        </w:rPr>
      </w:pPr>
      <w:r>
        <w:rPr>
          <w:color w:val="000000"/>
        </w:rPr>
        <w:t>_________________________________</w:t>
      </w:r>
    </w:p>
    <w:sectPr>
      <w:pgSz w:w="11906" w:h="16838"/>
      <w:pgMar w:top="567" w:right="1134" w:bottom="1134" w:left="1417"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Cambria Math">
    <w:panose1 w:val="02040503050406030204"/>
    <w:charset w:val="00"/>
    <w:family w:val="auto"/>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95C2">
    <w:pPr>
      <w:pStyle w:val="138"/>
    </w:pPr>
    <w:r>
      <w:fldChar w:fldCharType="begin"/>
    </w:r>
    <w:r>
      <w:instrText xml:space="preserve"> PAGE  \* MERGEFORMAT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43B19">
    <w:pPr>
      <w:pStyle w:val="102"/>
    </w:pPr>
    <w:r>
      <w:fldChar w:fldCharType="begin"/>
    </w:r>
    <w:r>
      <w:instrText xml:space="preserve"> PAGE  \* MERGEFORMAT </w:instrText>
    </w:r>
    <w:r>
      <w:fldChar w:fldCharType="separate"/>
    </w:r>
    <w:r>
      <w:t>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265D0">
    <w:pPr>
      <w:pStyle w:val="135"/>
    </w:pPr>
    <w:r>
      <w:t xml:space="preserve">DB36/T </w:t>
    </w:r>
    <w:r>
      <w:rPr>
        <w:rFonts w:hint="eastAsia"/>
        <w:lang w:val="en-US" w:eastAsia="zh-CN"/>
      </w:rPr>
      <w:t>1468</w:t>
    </w:r>
    <w:r>
      <w:t>—</w:t>
    </w:r>
    <w:r>
      <w:rPr>
        <w:rFonts w:hint="eastAsia"/>
        <w:lang w:val="en-US" w:eastAsia="zh-CN"/>
      </w:rPr>
      <w:t>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DDCD5">
    <w:pPr>
      <w:pStyle w:val="105"/>
      <w:rPr>
        <w:rFonts w:hint="default" w:eastAsia="黑体"/>
        <w:lang w:val="en-US" w:eastAsia="zh-CN"/>
      </w:rPr>
    </w:pPr>
    <w:r>
      <w:t xml:space="preserve">DB36/T </w:t>
    </w:r>
    <w:r>
      <w:rPr>
        <w:rFonts w:hint="eastAsia"/>
        <w:lang w:val="en-US" w:eastAsia="zh-CN"/>
      </w:rPr>
      <w:t>1468</w:t>
    </w:r>
    <w:r>
      <w:t>—</w:t>
    </w:r>
    <w:r>
      <w:rPr>
        <w:rFonts w:hint="eastAsia"/>
        <w:lang w:val="en-US" w:eastAsia="zh-CN"/>
      </w:rPr>
      <w:t>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02555"/>
    <w:multiLevelType w:val="multilevel"/>
    <w:tmpl w:val="02D02555"/>
    <w:lvl w:ilvl="0" w:tentative="0">
      <w:start w:val="1"/>
      <w:numFmt w:val="lowerLetter"/>
      <w:pStyle w:val="13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81"/>
      <w:lvlText w:val="%2)"/>
      <w:lvlJc w:val="left"/>
      <w:pPr>
        <w:tabs>
          <w:tab w:val="left" w:pos="1260"/>
        </w:tabs>
        <w:ind w:left="1259" w:hanging="419"/>
      </w:pPr>
      <w:rPr>
        <w:rFonts w:hint="eastAsia"/>
      </w:rPr>
    </w:lvl>
    <w:lvl w:ilvl="2" w:tentative="0">
      <w:start w:val="1"/>
      <w:numFmt w:val="decimal"/>
      <w:pStyle w:val="9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79102AD"/>
    <w:multiLevelType w:val="multilevel"/>
    <w:tmpl w:val="079102AD"/>
    <w:lvl w:ilvl="0" w:tentative="0">
      <w:start w:val="1"/>
      <w:numFmt w:val="decimal"/>
      <w:pStyle w:val="5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4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7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8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5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53"/>
      <w:suff w:val="nothing"/>
      <w:lvlText w:val="%1.%2.%3　"/>
      <w:lvlJc w:val="left"/>
      <w:pPr>
        <w:ind w:left="0" w:firstLine="0"/>
      </w:pPr>
      <w:rPr>
        <w:rFonts w:hint="eastAsia" w:ascii="黑体" w:hAnsi="Times New Roman" w:eastAsia="黑体"/>
        <w:b w:val="0"/>
        <w:i w:val="0"/>
        <w:sz w:val="21"/>
      </w:rPr>
    </w:lvl>
    <w:lvl w:ilvl="3" w:tentative="0">
      <w:start w:val="1"/>
      <w:numFmt w:val="decimal"/>
      <w:pStyle w:val="52"/>
      <w:suff w:val="nothing"/>
      <w:lvlText w:val="%1.%2.%3.%4　"/>
      <w:lvlJc w:val="left"/>
      <w:pPr>
        <w:ind w:left="0" w:firstLine="0"/>
      </w:pPr>
      <w:rPr>
        <w:rFonts w:hint="eastAsia" w:ascii="黑体" w:hAnsi="Times New Roman" w:eastAsia="黑体"/>
        <w:b w:val="0"/>
        <w:i w:val="0"/>
        <w:sz w:val="21"/>
      </w:rPr>
    </w:lvl>
    <w:lvl w:ilvl="4" w:tentative="0">
      <w:start w:val="1"/>
      <w:numFmt w:val="decimal"/>
      <w:pStyle w:val="77"/>
      <w:suff w:val="nothing"/>
      <w:lvlText w:val="%1.%2.%3.%4.%5　"/>
      <w:lvlJc w:val="left"/>
      <w:pPr>
        <w:ind w:left="0" w:firstLine="0"/>
      </w:pPr>
      <w:rPr>
        <w:rFonts w:hint="eastAsia" w:ascii="黑体" w:hAnsi="Times New Roman" w:eastAsia="黑体"/>
        <w:b w:val="0"/>
        <w:i w:val="0"/>
        <w:sz w:val="21"/>
      </w:rPr>
    </w:lvl>
    <w:lvl w:ilvl="5" w:tentative="0">
      <w:start w:val="1"/>
      <w:numFmt w:val="decimal"/>
      <w:pStyle w:val="12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125"/>
      <w:suff w:val="space"/>
      <w:lvlText w:val="%1"/>
      <w:lvlJc w:val="left"/>
      <w:pPr>
        <w:ind w:left="623" w:hanging="425"/>
      </w:pPr>
      <w:rPr>
        <w:rFonts w:hint="eastAsia"/>
      </w:rPr>
    </w:lvl>
    <w:lvl w:ilvl="1" w:tentative="0">
      <w:start w:val="1"/>
      <w:numFmt w:val="decimal"/>
      <w:pStyle w:val="1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124"/>
      <w:suff w:val="nothing"/>
      <w:lvlText w:val="%1——"/>
      <w:lvlJc w:val="left"/>
      <w:pPr>
        <w:ind w:left="833" w:hanging="408"/>
      </w:pPr>
      <w:rPr>
        <w:rFonts w:hint="eastAsia"/>
      </w:rPr>
    </w:lvl>
    <w:lvl w:ilvl="1" w:tentative="0">
      <w:start w:val="1"/>
      <w:numFmt w:val="bullet"/>
      <w:pStyle w:val="83"/>
      <w:lvlText w:val=""/>
      <w:lvlJc w:val="left"/>
      <w:pPr>
        <w:tabs>
          <w:tab w:val="left" w:pos="760"/>
        </w:tabs>
        <w:ind w:left="1264" w:hanging="413"/>
      </w:pPr>
      <w:rPr>
        <w:rFonts w:hint="default" w:ascii="Symbol" w:hAnsi="Symbol"/>
        <w:color w:val="auto"/>
      </w:rPr>
    </w:lvl>
    <w:lvl w:ilvl="2" w:tentative="0">
      <w:start w:val="1"/>
      <w:numFmt w:val="bullet"/>
      <w:pStyle w:val="7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5965A83"/>
    <w:multiLevelType w:val="multilevel"/>
    <w:tmpl w:val="45965A8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tentative="0">
      <w:start w:val="1"/>
      <w:numFmt w:val="decimal"/>
      <w:pStyle w:val="5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6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49"/>
      <w:lvlText w:val="%1"/>
      <w:lvlJc w:val="left"/>
      <w:pPr>
        <w:tabs>
          <w:tab w:val="left" w:pos="0"/>
        </w:tabs>
        <w:ind w:left="0" w:hanging="425"/>
      </w:pPr>
      <w:rPr>
        <w:rFonts w:hint="eastAsia"/>
      </w:rPr>
    </w:lvl>
    <w:lvl w:ilvl="1" w:tentative="0">
      <w:start w:val="1"/>
      <w:numFmt w:val="decimal"/>
      <w:pStyle w:val="10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0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9"/>
      <w:suff w:val="nothing"/>
      <w:lvlText w:val="%1.%2.%3　"/>
      <w:lvlJc w:val="left"/>
      <w:pPr>
        <w:ind w:left="0" w:firstLine="0"/>
      </w:pPr>
      <w:rPr>
        <w:rFonts w:hint="eastAsia" w:ascii="黑体" w:hAnsi="Times New Roman" w:eastAsia="黑体"/>
        <w:b w:val="0"/>
        <w:i w:val="0"/>
        <w:sz w:val="21"/>
      </w:rPr>
    </w:lvl>
    <w:lvl w:ilvl="3" w:tentative="0">
      <w:start w:val="1"/>
      <w:numFmt w:val="decimal"/>
      <w:pStyle w:val="48"/>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61"/>
      <w:suff w:val="nothing"/>
      <w:lvlText w:val="%1.%2.%3.%4.%5.%6　"/>
      <w:lvlJc w:val="left"/>
      <w:pPr>
        <w:ind w:left="0" w:firstLine="0"/>
      </w:pPr>
      <w:rPr>
        <w:rFonts w:hint="eastAsia" w:ascii="黑体" w:hAnsi="Times New Roman" w:eastAsia="黑体"/>
        <w:b w:val="0"/>
        <w:i w:val="0"/>
        <w:sz w:val="21"/>
      </w:rPr>
    </w:lvl>
    <w:lvl w:ilvl="6" w:tentative="0">
      <w:start w:val="1"/>
      <w:numFmt w:val="decimal"/>
      <w:pStyle w:val="6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18"/>
      <w:lvlText w:val="%1)"/>
      <w:lvlJc w:val="left"/>
      <w:pPr>
        <w:tabs>
          <w:tab w:val="left" w:pos="839"/>
        </w:tabs>
        <w:ind w:left="839" w:hanging="419"/>
      </w:pPr>
      <w:rPr>
        <w:rFonts w:hint="eastAsia" w:ascii="宋体" w:eastAsia="宋体"/>
        <w:b w:val="0"/>
        <w:i w:val="0"/>
        <w:sz w:val="21"/>
      </w:rPr>
    </w:lvl>
    <w:lvl w:ilvl="1" w:tentative="0">
      <w:start w:val="1"/>
      <w:numFmt w:val="decimal"/>
      <w:pStyle w:val="7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65"/>
      <w:suff w:val="nothing"/>
      <w:lvlText w:val="%1注："/>
      <w:lvlJc w:val="left"/>
      <w:pPr>
        <w:ind w:left="3198" w:hanging="363"/>
      </w:pPr>
      <w:rPr>
        <w:rFonts w:hint="eastAsia" w:ascii="黑体" w:hAnsi="Times New Roman" w:eastAsia="黑体"/>
        <w:b w:val="0"/>
        <w:i w:val="0"/>
        <w:sz w:val="18"/>
      </w:rPr>
    </w:lvl>
    <w:lvl w:ilvl="1" w:tentative="0">
      <w:start w:val="1"/>
      <w:numFmt w:val="lowerLetter"/>
      <w:lvlText w:val="%2)"/>
      <w:lvlJc w:val="left"/>
      <w:pPr>
        <w:tabs>
          <w:tab w:val="left" w:pos="3612"/>
        </w:tabs>
        <w:ind w:left="3198" w:hanging="363"/>
      </w:pPr>
      <w:rPr>
        <w:rFonts w:hint="eastAsia"/>
      </w:rPr>
    </w:lvl>
    <w:lvl w:ilvl="2" w:tentative="0">
      <w:start w:val="1"/>
      <w:numFmt w:val="lowerRoman"/>
      <w:lvlText w:val="%3."/>
      <w:lvlJc w:val="right"/>
      <w:pPr>
        <w:tabs>
          <w:tab w:val="left" w:pos="3612"/>
        </w:tabs>
        <w:ind w:left="3198" w:hanging="363"/>
      </w:pPr>
      <w:rPr>
        <w:rFonts w:hint="eastAsia"/>
      </w:rPr>
    </w:lvl>
    <w:lvl w:ilvl="3" w:tentative="0">
      <w:start w:val="1"/>
      <w:numFmt w:val="decimal"/>
      <w:lvlText w:val="%4."/>
      <w:lvlJc w:val="left"/>
      <w:pPr>
        <w:tabs>
          <w:tab w:val="left" w:pos="3612"/>
        </w:tabs>
        <w:ind w:left="3198" w:hanging="363"/>
      </w:pPr>
      <w:rPr>
        <w:rFonts w:hint="eastAsia"/>
      </w:rPr>
    </w:lvl>
    <w:lvl w:ilvl="4" w:tentative="0">
      <w:start w:val="1"/>
      <w:numFmt w:val="lowerLetter"/>
      <w:lvlText w:val="%5)"/>
      <w:lvlJc w:val="left"/>
      <w:pPr>
        <w:tabs>
          <w:tab w:val="left" w:pos="3612"/>
        </w:tabs>
        <w:ind w:left="3198" w:hanging="363"/>
      </w:pPr>
      <w:rPr>
        <w:rFonts w:hint="eastAsia"/>
      </w:rPr>
    </w:lvl>
    <w:lvl w:ilvl="5" w:tentative="0">
      <w:start w:val="1"/>
      <w:numFmt w:val="lowerRoman"/>
      <w:lvlText w:val="%6."/>
      <w:lvlJc w:val="right"/>
      <w:pPr>
        <w:tabs>
          <w:tab w:val="left" w:pos="3612"/>
        </w:tabs>
        <w:ind w:left="3198" w:hanging="363"/>
      </w:pPr>
      <w:rPr>
        <w:rFonts w:hint="eastAsia"/>
      </w:rPr>
    </w:lvl>
    <w:lvl w:ilvl="6" w:tentative="0">
      <w:start w:val="1"/>
      <w:numFmt w:val="decimal"/>
      <w:lvlText w:val="%7."/>
      <w:lvlJc w:val="left"/>
      <w:pPr>
        <w:tabs>
          <w:tab w:val="left" w:pos="3612"/>
        </w:tabs>
        <w:ind w:left="3198" w:hanging="363"/>
      </w:pPr>
      <w:rPr>
        <w:rFonts w:hint="eastAsia"/>
      </w:rPr>
    </w:lvl>
    <w:lvl w:ilvl="7" w:tentative="0">
      <w:start w:val="1"/>
      <w:numFmt w:val="lowerLetter"/>
      <w:lvlText w:val="%8)"/>
      <w:lvlJc w:val="left"/>
      <w:pPr>
        <w:tabs>
          <w:tab w:val="left" w:pos="3612"/>
        </w:tabs>
        <w:ind w:left="3198" w:hanging="363"/>
      </w:pPr>
      <w:rPr>
        <w:rFonts w:hint="eastAsia"/>
      </w:rPr>
    </w:lvl>
    <w:lvl w:ilvl="8" w:tentative="0">
      <w:start w:val="1"/>
      <w:numFmt w:val="lowerRoman"/>
      <w:lvlText w:val="%9."/>
      <w:lvlJc w:val="right"/>
      <w:pPr>
        <w:tabs>
          <w:tab w:val="left" w:pos="3612"/>
        </w:tabs>
        <w:ind w:left="3198" w:hanging="363"/>
      </w:pPr>
      <w:rPr>
        <w:rFonts w:hint="eastAsia"/>
      </w:rPr>
    </w:lvl>
  </w:abstractNum>
  <w:num w:numId="1">
    <w:abstractNumId w:val="9"/>
  </w:num>
  <w:num w:numId="2">
    <w:abstractNumId w:val="2"/>
  </w:num>
  <w:num w:numId="3">
    <w:abstractNumId w:val="15"/>
  </w:num>
  <w:num w:numId="4">
    <w:abstractNumId w:val="13"/>
  </w:num>
  <w:num w:numId="5">
    <w:abstractNumId w:val="6"/>
  </w:num>
  <w:num w:numId="6">
    <w:abstractNumId w:val="11"/>
  </w:num>
  <w:num w:numId="7">
    <w:abstractNumId w:val="1"/>
  </w:num>
  <w:num w:numId="8">
    <w:abstractNumId w:val="17"/>
  </w:num>
  <w:num w:numId="9">
    <w:abstractNumId w:val="12"/>
  </w:num>
  <w:num w:numId="10">
    <w:abstractNumId w:val="16"/>
  </w:num>
  <w:num w:numId="11">
    <w:abstractNumId w:val="8"/>
  </w:num>
  <w:num w:numId="12">
    <w:abstractNumId w:val="4"/>
  </w:num>
  <w:num w:numId="13">
    <w:abstractNumId w:val="0"/>
  </w:num>
  <w:num w:numId="14">
    <w:abstractNumId w:val="5"/>
  </w:num>
  <w:num w:numId="15">
    <w:abstractNumId w:val="3"/>
  </w:num>
  <w:num w:numId="16">
    <w:abstractNumId w:val="14"/>
  </w:num>
  <w:num w:numId="17">
    <w:abstractNumId w:val="7"/>
  </w:num>
  <w:num w:numId="18">
    <w:abstractNumId w:val="1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removePersonalInformation/>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00947D2A"/>
    <w:rsid w:val="00000244"/>
    <w:rsid w:val="0000185F"/>
    <w:rsid w:val="0000586F"/>
    <w:rsid w:val="00013738"/>
    <w:rsid w:val="00013D86"/>
    <w:rsid w:val="00013E02"/>
    <w:rsid w:val="000169AD"/>
    <w:rsid w:val="0002143C"/>
    <w:rsid w:val="00021818"/>
    <w:rsid w:val="00022345"/>
    <w:rsid w:val="00025A65"/>
    <w:rsid w:val="00025E1F"/>
    <w:rsid w:val="00026C31"/>
    <w:rsid w:val="00027280"/>
    <w:rsid w:val="000320A7"/>
    <w:rsid w:val="00035925"/>
    <w:rsid w:val="000371E9"/>
    <w:rsid w:val="00041A81"/>
    <w:rsid w:val="00041E3A"/>
    <w:rsid w:val="00047563"/>
    <w:rsid w:val="00051CC0"/>
    <w:rsid w:val="000537AD"/>
    <w:rsid w:val="00067CDF"/>
    <w:rsid w:val="00067CF2"/>
    <w:rsid w:val="00073EDF"/>
    <w:rsid w:val="00074FBE"/>
    <w:rsid w:val="000757C1"/>
    <w:rsid w:val="00083A09"/>
    <w:rsid w:val="0009005E"/>
    <w:rsid w:val="00090659"/>
    <w:rsid w:val="00091EE4"/>
    <w:rsid w:val="00092857"/>
    <w:rsid w:val="00097658"/>
    <w:rsid w:val="000A20A9"/>
    <w:rsid w:val="000A48B1"/>
    <w:rsid w:val="000A4CC9"/>
    <w:rsid w:val="000B3143"/>
    <w:rsid w:val="000C0286"/>
    <w:rsid w:val="000C16FF"/>
    <w:rsid w:val="000C3247"/>
    <w:rsid w:val="000C6B05"/>
    <w:rsid w:val="000C6DD6"/>
    <w:rsid w:val="000C73D4"/>
    <w:rsid w:val="000D3D4C"/>
    <w:rsid w:val="000D4830"/>
    <w:rsid w:val="000D4F51"/>
    <w:rsid w:val="000D718B"/>
    <w:rsid w:val="000E0C46"/>
    <w:rsid w:val="000E6C47"/>
    <w:rsid w:val="000F030C"/>
    <w:rsid w:val="000F084C"/>
    <w:rsid w:val="000F129C"/>
    <w:rsid w:val="000F2E01"/>
    <w:rsid w:val="000F6389"/>
    <w:rsid w:val="000F79C4"/>
    <w:rsid w:val="001056DE"/>
    <w:rsid w:val="001124C0"/>
    <w:rsid w:val="00112595"/>
    <w:rsid w:val="0013175F"/>
    <w:rsid w:val="00133E7E"/>
    <w:rsid w:val="00135E74"/>
    <w:rsid w:val="00143CE8"/>
    <w:rsid w:val="001444BC"/>
    <w:rsid w:val="001512B4"/>
    <w:rsid w:val="00152107"/>
    <w:rsid w:val="00153D17"/>
    <w:rsid w:val="0015576A"/>
    <w:rsid w:val="00157F48"/>
    <w:rsid w:val="0016167F"/>
    <w:rsid w:val="001620A5"/>
    <w:rsid w:val="00164571"/>
    <w:rsid w:val="001646B1"/>
    <w:rsid w:val="00164E53"/>
    <w:rsid w:val="0016699D"/>
    <w:rsid w:val="001731F3"/>
    <w:rsid w:val="00175159"/>
    <w:rsid w:val="00175CBF"/>
    <w:rsid w:val="001760EE"/>
    <w:rsid w:val="00176208"/>
    <w:rsid w:val="001765DE"/>
    <w:rsid w:val="0018211B"/>
    <w:rsid w:val="001840D3"/>
    <w:rsid w:val="001900F8"/>
    <w:rsid w:val="00191258"/>
    <w:rsid w:val="00192680"/>
    <w:rsid w:val="00193037"/>
    <w:rsid w:val="00193A2C"/>
    <w:rsid w:val="0019568C"/>
    <w:rsid w:val="001A288E"/>
    <w:rsid w:val="001B5F48"/>
    <w:rsid w:val="001B6DC2"/>
    <w:rsid w:val="001C149C"/>
    <w:rsid w:val="001C21AC"/>
    <w:rsid w:val="001C47BA"/>
    <w:rsid w:val="001C59EA"/>
    <w:rsid w:val="001C76FF"/>
    <w:rsid w:val="001D0BA4"/>
    <w:rsid w:val="001D406C"/>
    <w:rsid w:val="001D41EE"/>
    <w:rsid w:val="001D7525"/>
    <w:rsid w:val="001E0380"/>
    <w:rsid w:val="001E13B1"/>
    <w:rsid w:val="001E262B"/>
    <w:rsid w:val="001E2E03"/>
    <w:rsid w:val="001E6A8E"/>
    <w:rsid w:val="001F0B18"/>
    <w:rsid w:val="001F21C5"/>
    <w:rsid w:val="001F2C30"/>
    <w:rsid w:val="001F3A19"/>
    <w:rsid w:val="002006A1"/>
    <w:rsid w:val="002123A6"/>
    <w:rsid w:val="00214336"/>
    <w:rsid w:val="00220FC8"/>
    <w:rsid w:val="00221852"/>
    <w:rsid w:val="00225324"/>
    <w:rsid w:val="002277D4"/>
    <w:rsid w:val="002302B7"/>
    <w:rsid w:val="00231B29"/>
    <w:rsid w:val="00234467"/>
    <w:rsid w:val="00234520"/>
    <w:rsid w:val="00237D8D"/>
    <w:rsid w:val="002419A9"/>
    <w:rsid w:val="00241DA2"/>
    <w:rsid w:val="00242446"/>
    <w:rsid w:val="00242F53"/>
    <w:rsid w:val="0024724C"/>
    <w:rsid w:val="00247B26"/>
    <w:rsid w:val="00247FEE"/>
    <w:rsid w:val="00250E7D"/>
    <w:rsid w:val="002540DF"/>
    <w:rsid w:val="002556DB"/>
    <w:rsid w:val="002565D5"/>
    <w:rsid w:val="00261783"/>
    <w:rsid w:val="00261EE2"/>
    <w:rsid w:val="002622C0"/>
    <w:rsid w:val="00263076"/>
    <w:rsid w:val="00267CD5"/>
    <w:rsid w:val="0027009B"/>
    <w:rsid w:val="00275A6E"/>
    <w:rsid w:val="002778AE"/>
    <w:rsid w:val="002800FE"/>
    <w:rsid w:val="0028269A"/>
    <w:rsid w:val="0028341D"/>
    <w:rsid w:val="00283590"/>
    <w:rsid w:val="00286973"/>
    <w:rsid w:val="0029398D"/>
    <w:rsid w:val="00293ECC"/>
    <w:rsid w:val="00294E70"/>
    <w:rsid w:val="002971DF"/>
    <w:rsid w:val="002A1924"/>
    <w:rsid w:val="002A3E0F"/>
    <w:rsid w:val="002A5D9D"/>
    <w:rsid w:val="002A5E9A"/>
    <w:rsid w:val="002A6C8E"/>
    <w:rsid w:val="002A7420"/>
    <w:rsid w:val="002A7C98"/>
    <w:rsid w:val="002B0F12"/>
    <w:rsid w:val="002B1308"/>
    <w:rsid w:val="002B4554"/>
    <w:rsid w:val="002B6E62"/>
    <w:rsid w:val="002C72D8"/>
    <w:rsid w:val="002D11FA"/>
    <w:rsid w:val="002D1C1C"/>
    <w:rsid w:val="002D2120"/>
    <w:rsid w:val="002D6717"/>
    <w:rsid w:val="002D7BCD"/>
    <w:rsid w:val="002E0963"/>
    <w:rsid w:val="002E0DDF"/>
    <w:rsid w:val="002E14FE"/>
    <w:rsid w:val="002E1AFE"/>
    <w:rsid w:val="002E2906"/>
    <w:rsid w:val="002E5635"/>
    <w:rsid w:val="002E64C3"/>
    <w:rsid w:val="002E6A2C"/>
    <w:rsid w:val="002F1D8C"/>
    <w:rsid w:val="002F21DA"/>
    <w:rsid w:val="00301F39"/>
    <w:rsid w:val="0030318B"/>
    <w:rsid w:val="00304A18"/>
    <w:rsid w:val="00304E28"/>
    <w:rsid w:val="00306587"/>
    <w:rsid w:val="00306EBF"/>
    <w:rsid w:val="00310D1A"/>
    <w:rsid w:val="003170B8"/>
    <w:rsid w:val="003176FA"/>
    <w:rsid w:val="00322727"/>
    <w:rsid w:val="00323A28"/>
    <w:rsid w:val="00325926"/>
    <w:rsid w:val="00327A8A"/>
    <w:rsid w:val="00333E3B"/>
    <w:rsid w:val="00336610"/>
    <w:rsid w:val="00340282"/>
    <w:rsid w:val="00343C53"/>
    <w:rsid w:val="00343F73"/>
    <w:rsid w:val="00345060"/>
    <w:rsid w:val="003459A2"/>
    <w:rsid w:val="003508A3"/>
    <w:rsid w:val="0035323B"/>
    <w:rsid w:val="0035792C"/>
    <w:rsid w:val="003609D2"/>
    <w:rsid w:val="00363F22"/>
    <w:rsid w:val="00365F3B"/>
    <w:rsid w:val="00370866"/>
    <w:rsid w:val="0037134F"/>
    <w:rsid w:val="003740F1"/>
    <w:rsid w:val="00374A58"/>
    <w:rsid w:val="00375241"/>
    <w:rsid w:val="00375564"/>
    <w:rsid w:val="00383191"/>
    <w:rsid w:val="00385B69"/>
    <w:rsid w:val="00386DED"/>
    <w:rsid w:val="003912E7"/>
    <w:rsid w:val="00392DCB"/>
    <w:rsid w:val="00393947"/>
    <w:rsid w:val="00394A86"/>
    <w:rsid w:val="00395C5D"/>
    <w:rsid w:val="003A1D97"/>
    <w:rsid w:val="003A2275"/>
    <w:rsid w:val="003A255D"/>
    <w:rsid w:val="003A2653"/>
    <w:rsid w:val="003A2961"/>
    <w:rsid w:val="003A2FAA"/>
    <w:rsid w:val="003A6A4F"/>
    <w:rsid w:val="003A7088"/>
    <w:rsid w:val="003B00DF"/>
    <w:rsid w:val="003B0F20"/>
    <w:rsid w:val="003B1275"/>
    <w:rsid w:val="003B1778"/>
    <w:rsid w:val="003B28A6"/>
    <w:rsid w:val="003B66B4"/>
    <w:rsid w:val="003B6E90"/>
    <w:rsid w:val="003C044E"/>
    <w:rsid w:val="003C10C2"/>
    <w:rsid w:val="003C11CB"/>
    <w:rsid w:val="003C427A"/>
    <w:rsid w:val="003C4A1D"/>
    <w:rsid w:val="003C75F3"/>
    <w:rsid w:val="003C78A3"/>
    <w:rsid w:val="003D1512"/>
    <w:rsid w:val="003D3083"/>
    <w:rsid w:val="003E1867"/>
    <w:rsid w:val="003E36CB"/>
    <w:rsid w:val="003E5427"/>
    <w:rsid w:val="003E5729"/>
    <w:rsid w:val="003E61B1"/>
    <w:rsid w:val="003E6F55"/>
    <w:rsid w:val="003F1BD0"/>
    <w:rsid w:val="003F4EE0"/>
    <w:rsid w:val="00402153"/>
    <w:rsid w:val="00402FC1"/>
    <w:rsid w:val="00403542"/>
    <w:rsid w:val="00404FC3"/>
    <w:rsid w:val="00422FCF"/>
    <w:rsid w:val="00423E89"/>
    <w:rsid w:val="00425082"/>
    <w:rsid w:val="00431804"/>
    <w:rsid w:val="00431DEB"/>
    <w:rsid w:val="0043276A"/>
    <w:rsid w:val="00437C3A"/>
    <w:rsid w:val="00442AFA"/>
    <w:rsid w:val="00444ADE"/>
    <w:rsid w:val="00446574"/>
    <w:rsid w:val="00446B29"/>
    <w:rsid w:val="004503B7"/>
    <w:rsid w:val="0045308A"/>
    <w:rsid w:val="00453F9A"/>
    <w:rsid w:val="00457AAA"/>
    <w:rsid w:val="0046067C"/>
    <w:rsid w:val="00467F50"/>
    <w:rsid w:val="00471E91"/>
    <w:rsid w:val="00474675"/>
    <w:rsid w:val="0047470C"/>
    <w:rsid w:val="0047691C"/>
    <w:rsid w:val="004801BB"/>
    <w:rsid w:val="004812A3"/>
    <w:rsid w:val="00484AB0"/>
    <w:rsid w:val="00490226"/>
    <w:rsid w:val="004A35F9"/>
    <w:rsid w:val="004A4D51"/>
    <w:rsid w:val="004B0A47"/>
    <w:rsid w:val="004B1EC7"/>
    <w:rsid w:val="004B24C1"/>
    <w:rsid w:val="004B7E77"/>
    <w:rsid w:val="004C292F"/>
    <w:rsid w:val="004C3C54"/>
    <w:rsid w:val="004D31B6"/>
    <w:rsid w:val="004D4765"/>
    <w:rsid w:val="004D48DE"/>
    <w:rsid w:val="004E127E"/>
    <w:rsid w:val="004E608D"/>
    <w:rsid w:val="004E6765"/>
    <w:rsid w:val="004F14A7"/>
    <w:rsid w:val="004F5A08"/>
    <w:rsid w:val="004F7348"/>
    <w:rsid w:val="00500680"/>
    <w:rsid w:val="0050759D"/>
    <w:rsid w:val="00510280"/>
    <w:rsid w:val="00511C86"/>
    <w:rsid w:val="00513D73"/>
    <w:rsid w:val="00514A43"/>
    <w:rsid w:val="005174E5"/>
    <w:rsid w:val="00517B3F"/>
    <w:rsid w:val="00520DBF"/>
    <w:rsid w:val="00522165"/>
    <w:rsid w:val="00522393"/>
    <w:rsid w:val="00522620"/>
    <w:rsid w:val="00524609"/>
    <w:rsid w:val="00525656"/>
    <w:rsid w:val="00534216"/>
    <w:rsid w:val="00534C02"/>
    <w:rsid w:val="00535602"/>
    <w:rsid w:val="00540847"/>
    <w:rsid w:val="0054264B"/>
    <w:rsid w:val="00543786"/>
    <w:rsid w:val="005533D7"/>
    <w:rsid w:val="00556C19"/>
    <w:rsid w:val="005703DE"/>
    <w:rsid w:val="00570E1B"/>
    <w:rsid w:val="00572B22"/>
    <w:rsid w:val="00573702"/>
    <w:rsid w:val="00574A07"/>
    <w:rsid w:val="00577983"/>
    <w:rsid w:val="00580F77"/>
    <w:rsid w:val="00583643"/>
    <w:rsid w:val="0058464E"/>
    <w:rsid w:val="00584A3D"/>
    <w:rsid w:val="00584C6F"/>
    <w:rsid w:val="005901DA"/>
    <w:rsid w:val="00596016"/>
    <w:rsid w:val="005A01CB"/>
    <w:rsid w:val="005A58FF"/>
    <w:rsid w:val="005A5EAF"/>
    <w:rsid w:val="005A64C0"/>
    <w:rsid w:val="005A6977"/>
    <w:rsid w:val="005A78D7"/>
    <w:rsid w:val="005B3C11"/>
    <w:rsid w:val="005B6966"/>
    <w:rsid w:val="005C1C28"/>
    <w:rsid w:val="005C3174"/>
    <w:rsid w:val="005C3CB5"/>
    <w:rsid w:val="005C49FC"/>
    <w:rsid w:val="005C561B"/>
    <w:rsid w:val="005C6DB5"/>
    <w:rsid w:val="005D0CC3"/>
    <w:rsid w:val="005D13FA"/>
    <w:rsid w:val="005D4AA8"/>
    <w:rsid w:val="005D598B"/>
    <w:rsid w:val="005E19E7"/>
    <w:rsid w:val="005E2859"/>
    <w:rsid w:val="005E2C13"/>
    <w:rsid w:val="005F4A8D"/>
    <w:rsid w:val="00601C8F"/>
    <w:rsid w:val="006060EF"/>
    <w:rsid w:val="00614388"/>
    <w:rsid w:val="0061716C"/>
    <w:rsid w:val="00620FE2"/>
    <w:rsid w:val="006243A1"/>
    <w:rsid w:val="006254C4"/>
    <w:rsid w:val="006266BA"/>
    <w:rsid w:val="00632E56"/>
    <w:rsid w:val="006347C5"/>
    <w:rsid w:val="00635A23"/>
    <w:rsid w:val="00635CBA"/>
    <w:rsid w:val="0064338B"/>
    <w:rsid w:val="006444AB"/>
    <w:rsid w:val="00646542"/>
    <w:rsid w:val="0065000D"/>
    <w:rsid w:val="006504F4"/>
    <w:rsid w:val="00650DF1"/>
    <w:rsid w:val="0065198E"/>
    <w:rsid w:val="00654BC9"/>
    <w:rsid w:val="006552FD"/>
    <w:rsid w:val="00655D8C"/>
    <w:rsid w:val="0066284E"/>
    <w:rsid w:val="00663AF3"/>
    <w:rsid w:val="00666B6C"/>
    <w:rsid w:val="00667409"/>
    <w:rsid w:val="00682682"/>
    <w:rsid w:val="00682702"/>
    <w:rsid w:val="00682F1B"/>
    <w:rsid w:val="00685917"/>
    <w:rsid w:val="006878EF"/>
    <w:rsid w:val="00692368"/>
    <w:rsid w:val="00694CED"/>
    <w:rsid w:val="0069545E"/>
    <w:rsid w:val="00697B69"/>
    <w:rsid w:val="006A2569"/>
    <w:rsid w:val="006A2EBC"/>
    <w:rsid w:val="006A3123"/>
    <w:rsid w:val="006A4A0B"/>
    <w:rsid w:val="006A5EA0"/>
    <w:rsid w:val="006A6048"/>
    <w:rsid w:val="006A6D32"/>
    <w:rsid w:val="006A71EC"/>
    <w:rsid w:val="006A783B"/>
    <w:rsid w:val="006A7B33"/>
    <w:rsid w:val="006B1585"/>
    <w:rsid w:val="006B4E13"/>
    <w:rsid w:val="006B54AE"/>
    <w:rsid w:val="006B75DD"/>
    <w:rsid w:val="006C67E0"/>
    <w:rsid w:val="006C7ABA"/>
    <w:rsid w:val="006D031C"/>
    <w:rsid w:val="006D0D60"/>
    <w:rsid w:val="006D1122"/>
    <w:rsid w:val="006D3391"/>
    <w:rsid w:val="006D348D"/>
    <w:rsid w:val="006D3C00"/>
    <w:rsid w:val="006E0870"/>
    <w:rsid w:val="006E25B6"/>
    <w:rsid w:val="006E2653"/>
    <w:rsid w:val="006E33B9"/>
    <w:rsid w:val="006E3675"/>
    <w:rsid w:val="006E42D3"/>
    <w:rsid w:val="006E4A7F"/>
    <w:rsid w:val="006E71C3"/>
    <w:rsid w:val="006F0434"/>
    <w:rsid w:val="006F0919"/>
    <w:rsid w:val="006F196A"/>
    <w:rsid w:val="006F3271"/>
    <w:rsid w:val="006F570D"/>
    <w:rsid w:val="006F619B"/>
    <w:rsid w:val="006F6F7D"/>
    <w:rsid w:val="00704558"/>
    <w:rsid w:val="00704DF6"/>
    <w:rsid w:val="0070651C"/>
    <w:rsid w:val="007066A0"/>
    <w:rsid w:val="00707C20"/>
    <w:rsid w:val="007132A3"/>
    <w:rsid w:val="00716421"/>
    <w:rsid w:val="00724EFB"/>
    <w:rsid w:val="00732EBC"/>
    <w:rsid w:val="007339D3"/>
    <w:rsid w:val="00736349"/>
    <w:rsid w:val="00740C71"/>
    <w:rsid w:val="007419C3"/>
    <w:rsid w:val="0074305B"/>
    <w:rsid w:val="00745D87"/>
    <w:rsid w:val="007467A7"/>
    <w:rsid w:val="007469DD"/>
    <w:rsid w:val="0074741B"/>
    <w:rsid w:val="0074759E"/>
    <w:rsid w:val="007478EA"/>
    <w:rsid w:val="00750CCD"/>
    <w:rsid w:val="00751D04"/>
    <w:rsid w:val="007523D7"/>
    <w:rsid w:val="00752540"/>
    <w:rsid w:val="0075415C"/>
    <w:rsid w:val="00762D17"/>
    <w:rsid w:val="00763502"/>
    <w:rsid w:val="00774B6E"/>
    <w:rsid w:val="00774F06"/>
    <w:rsid w:val="007767C7"/>
    <w:rsid w:val="00780495"/>
    <w:rsid w:val="00781834"/>
    <w:rsid w:val="00781F57"/>
    <w:rsid w:val="007835A4"/>
    <w:rsid w:val="00783A97"/>
    <w:rsid w:val="00784585"/>
    <w:rsid w:val="00787E96"/>
    <w:rsid w:val="00790ED2"/>
    <w:rsid w:val="007913AB"/>
    <w:rsid w:val="007914F7"/>
    <w:rsid w:val="0079249A"/>
    <w:rsid w:val="00792C5D"/>
    <w:rsid w:val="00793810"/>
    <w:rsid w:val="007A258F"/>
    <w:rsid w:val="007A56C6"/>
    <w:rsid w:val="007A5BDE"/>
    <w:rsid w:val="007B1620"/>
    <w:rsid w:val="007B1625"/>
    <w:rsid w:val="007B41E4"/>
    <w:rsid w:val="007B5A92"/>
    <w:rsid w:val="007B706E"/>
    <w:rsid w:val="007B71EB"/>
    <w:rsid w:val="007C126F"/>
    <w:rsid w:val="007C16B4"/>
    <w:rsid w:val="007C4ACE"/>
    <w:rsid w:val="007C6205"/>
    <w:rsid w:val="007C6827"/>
    <w:rsid w:val="007C6859"/>
    <w:rsid w:val="007C686A"/>
    <w:rsid w:val="007C728E"/>
    <w:rsid w:val="007D2BE2"/>
    <w:rsid w:val="007D2C53"/>
    <w:rsid w:val="007D3D60"/>
    <w:rsid w:val="007D41D8"/>
    <w:rsid w:val="007D53B8"/>
    <w:rsid w:val="007E1980"/>
    <w:rsid w:val="007E22EC"/>
    <w:rsid w:val="007E2F68"/>
    <w:rsid w:val="007E4B76"/>
    <w:rsid w:val="007E5EA8"/>
    <w:rsid w:val="007F0CF1"/>
    <w:rsid w:val="007F0FD8"/>
    <w:rsid w:val="007F12A5"/>
    <w:rsid w:val="007F4CF1"/>
    <w:rsid w:val="007F758D"/>
    <w:rsid w:val="007F7D52"/>
    <w:rsid w:val="007F7DB7"/>
    <w:rsid w:val="008013A6"/>
    <w:rsid w:val="0080654C"/>
    <w:rsid w:val="008071C6"/>
    <w:rsid w:val="00817A00"/>
    <w:rsid w:val="008201EC"/>
    <w:rsid w:val="008248A3"/>
    <w:rsid w:val="008275DC"/>
    <w:rsid w:val="00830777"/>
    <w:rsid w:val="00835DB3"/>
    <w:rsid w:val="0083617B"/>
    <w:rsid w:val="008371BD"/>
    <w:rsid w:val="0084032C"/>
    <w:rsid w:val="00840BAA"/>
    <w:rsid w:val="00841394"/>
    <w:rsid w:val="00844009"/>
    <w:rsid w:val="00844B04"/>
    <w:rsid w:val="008504A8"/>
    <w:rsid w:val="0085282E"/>
    <w:rsid w:val="0086082D"/>
    <w:rsid w:val="0086366A"/>
    <w:rsid w:val="00870055"/>
    <w:rsid w:val="0087198C"/>
    <w:rsid w:val="00872C1F"/>
    <w:rsid w:val="00873B42"/>
    <w:rsid w:val="00880C6A"/>
    <w:rsid w:val="00880CBF"/>
    <w:rsid w:val="00883CFF"/>
    <w:rsid w:val="008856D8"/>
    <w:rsid w:val="00886EED"/>
    <w:rsid w:val="00892E82"/>
    <w:rsid w:val="008A0042"/>
    <w:rsid w:val="008A1D7D"/>
    <w:rsid w:val="008A2461"/>
    <w:rsid w:val="008A27B6"/>
    <w:rsid w:val="008A5333"/>
    <w:rsid w:val="008A70B5"/>
    <w:rsid w:val="008A7493"/>
    <w:rsid w:val="008A787B"/>
    <w:rsid w:val="008B0AB2"/>
    <w:rsid w:val="008B61DD"/>
    <w:rsid w:val="008C1B58"/>
    <w:rsid w:val="008C2ACE"/>
    <w:rsid w:val="008C2E63"/>
    <w:rsid w:val="008C39AE"/>
    <w:rsid w:val="008C4E17"/>
    <w:rsid w:val="008C4F5E"/>
    <w:rsid w:val="008C590D"/>
    <w:rsid w:val="008E031B"/>
    <w:rsid w:val="008E1E11"/>
    <w:rsid w:val="008E53FF"/>
    <w:rsid w:val="008E7029"/>
    <w:rsid w:val="008E7872"/>
    <w:rsid w:val="008E7EF6"/>
    <w:rsid w:val="008F1F98"/>
    <w:rsid w:val="008F3E0D"/>
    <w:rsid w:val="008F6758"/>
    <w:rsid w:val="0090022C"/>
    <w:rsid w:val="00902892"/>
    <w:rsid w:val="009028D8"/>
    <w:rsid w:val="009040DD"/>
    <w:rsid w:val="009047B8"/>
    <w:rsid w:val="00905B47"/>
    <w:rsid w:val="0090799A"/>
    <w:rsid w:val="009111C4"/>
    <w:rsid w:val="00911889"/>
    <w:rsid w:val="0091331C"/>
    <w:rsid w:val="009147E5"/>
    <w:rsid w:val="00920ABD"/>
    <w:rsid w:val="0092438D"/>
    <w:rsid w:val="009264E4"/>
    <w:rsid w:val="009279DE"/>
    <w:rsid w:val="00927CDE"/>
    <w:rsid w:val="00930116"/>
    <w:rsid w:val="009302D9"/>
    <w:rsid w:val="009327DF"/>
    <w:rsid w:val="0094212C"/>
    <w:rsid w:val="00942D44"/>
    <w:rsid w:val="00946B74"/>
    <w:rsid w:val="00947D2A"/>
    <w:rsid w:val="0095168E"/>
    <w:rsid w:val="00954689"/>
    <w:rsid w:val="009562B3"/>
    <w:rsid w:val="00961014"/>
    <w:rsid w:val="009617C9"/>
    <w:rsid w:val="00961C93"/>
    <w:rsid w:val="00963AE2"/>
    <w:rsid w:val="00965324"/>
    <w:rsid w:val="0097091E"/>
    <w:rsid w:val="00971F7E"/>
    <w:rsid w:val="00972A3B"/>
    <w:rsid w:val="009760D3"/>
    <w:rsid w:val="0097710D"/>
    <w:rsid w:val="00977132"/>
    <w:rsid w:val="00981A4B"/>
    <w:rsid w:val="00982501"/>
    <w:rsid w:val="0098564E"/>
    <w:rsid w:val="00985EEC"/>
    <w:rsid w:val="00987209"/>
    <w:rsid w:val="009877D3"/>
    <w:rsid w:val="0099024B"/>
    <w:rsid w:val="00994E8F"/>
    <w:rsid w:val="009951DC"/>
    <w:rsid w:val="009959BB"/>
    <w:rsid w:val="00995A00"/>
    <w:rsid w:val="00997158"/>
    <w:rsid w:val="009A2729"/>
    <w:rsid w:val="009A3A7C"/>
    <w:rsid w:val="009B2ADB"/>
    <w:rsid w:val="009B504C"/>
    <w:rsid w:val="009B603A"/>
    <w:rsid w:val="009B6AEA"/>
    <w:rsid w:val="009C2D0E"/>
    <w:rsid w:val="009C3DAC"/>
    <w:rsid w:val="009C42E0"/>
    <w:rsid w:val="009C5C09"/>
    <w:rsid w:val="009D1A0E"/>
    <w:rsid w:val="009D4E48"/>
    <w:rsid w:val="009D5362"/>
    <w:rsid w:val="009E1415"/>
    <w:rsid w:val="009E1A79"/>
    <w:rsid w:val="009E1FF3"/>
    <w:rsid w:val="009E36FD"/>
    <w:rsid w:val="009E4D64"/>
    <w:rsid w:val="009E6116"/>
    <w:rsid w:val="009F03C0"/>
    <w:rsid w:val="009F2AC9"/>
    <w:rsid w:val="009F45D5"/>
    <w:rsid w:val="00A02E43"/>
    <w:rsid w:val="00A03E1F"/>
    <w:rsid w:val="00A041E1"/>
    <w:rsid w:val="00A04AD7"/>
    <w:rsid w:val="00A065F9"/>
    <w:rsid w:val="00A07F34"/>
    <w:rsid w:val="00A22154"/>
    <w:rsid w:val="00A23B5D"/>
    <w:rsid w:val="00A23F85"/>
    <w:rsid w:val="00A25C38"/>
    <w:rsid w:val="00A26727"/>
    <w:rsid w:val="00A35E32"/>
    <w:rsid w:val="00A35FD3"/>
    <w:rsid w:val="00A3649C"/>
    <w:rsid w:val="00A36BBE"/>
    <w:rsid w:val="00A41FAB"/>
    <w:rsid w:val="00A4307A"/>
    <w:rsid w:val="00A46585"/>
    <w:rsid w:val="00A47EBB"/>
    <w:rsid w:val="00A5058E"/>
    <w:rsid w:val="00A51CDD"/>
    <w:rsid w:val="00A5288E"/>
    <w:rsid w:val="00A57668"/>
    <w:rsid w:val="00A649AE"/>
    <w:rsid w:val="00A6730D"/>
    <w:rsid w:val="00A67FBE"/>
    <w:rsid w:val="00A71625"/>
    <w:rsid w:val="00A71B9B"/>
    <w:rsid w:val="00A751C7"/>
    <w:rsid w:val="00A76239"/>
    <w:rsid w:val="00A8208D"/>
    <w:rsid w:val="00A84D9E"/>
    <w:rsid w:val="00A862FC"/>
    <w:rsid w:val="00A87844"/>
    <w:rsid w:val="00A90AC5"/>
    <w:rsid w:val="00A92D56"/>
    <w:rsid w:val="00A955BB"/>
    <w:rsid w:val="00AA038C"/>
    <w:rsid w:val="00AA0ED6"/>
    <w:rsid w:val="00AA1E08"/>
    <w:rsid w:val="00AA2267"/>
    <w:rsid w:val="00AA285A"/>
    <w:rsid w:val="00AA5D65"/>
    <w:rsid w:val="00AA7A09"/>
    <w:rsid w:val="00AA7B9C"/>
    <w:rsid w:val="00AB3B50"/>
    <w:rsid w:val="00AB3D86"/>
    <w:rsid w:val="00AB4374"/>
    <w:rsid w:val="00AC05B1"/>
    <w:rsid w:val="00AC2D9F"/>
    <w:rsid w:val="00AC3EEA"/>
    <w:rsid w:val="00AD356C"/>
    <w:rsid w:val="00AD3ACC"/>
    <w:rsid w:val="00AD3C21"/>
    <w:rsid w:val="00AE1FEB"/>
    <w:rsid w:val="00AE28B9"/>
    <w:rsid w:val="00AE2914"/>
    <w:rsid w:val="00AE4F82"/>
    <w:rsid w:val="00AE6D15"/>
    <w:rsid w:val="00AF457E"/>
    <w:rsid w:val="00B01795"/>
    <w:rsid w:val="00B04182"/>
    <w:rsid w:val="00B06F07"/>
    <w:rsid w:val="00B07AE3"/>
    <w:rsid w:val="00B11430"/>
    <w:rsid w:val="00B11C1A"/>
    <w:rsid w:val="00B15A80"/>
    <w:rsid w:val="00B33E3A"/>
    <w:rsid w:val="00B35235"/>
    <w:rsid w:val="00B353EB"/>
    <w:rsid w:val="00B439C4"/>
    <w:rsid w:val="00B43F07"/>
    <w:rsid w:val="00B4535E"/>
    <w:rsid w:val="00B5040A"/>
    <w:rsid w:val="00B52A8C"/>
    <w:rsid w:val="00B56080"/>
    <w:rsid w:val="00B57984"/>
    <w:rsid w:val="00B57A31"/>
    <w:rsid w:val="00B607F9"/>
    <w:rsid w:val="00B62F2F"/>
    <w:rsid w:val="00B636A8"/>
    <w:rsid w:val="00B66474"/>
    <w:rsid w:val="00B665C6"/>
    <w:rsid w:val="00B66DC1"/>
    <w:rsid w:val="00B71396"/>
    <w:rsid w:val="00B734B3"/>
    <w:rsid w:val="00B75194"/>
    <w:rsid w:val="00B805AF"/>
    <w:rsid w:val="00B813E4"/>
    <w:rsid w:val="00B85D4B"/>
    <w:rsid w:val="00B869EC"/>
    <w:rsid w:val="00B9193A"/>
    <w:rsid w:val="00B9397A"/>
    <w:rsid w:val="00B9633D"/>
    <w:rsid w:val="00BA2EBE"/>
    <w:rsid w:val="00BA4FEC"/>
    <w:rsid w:val="00BB015A"/>
    <w:rsid w:val="00BB0F28"/>
    <w:rsid w:val="00BB208D"/>
    <w:rsid w:val="00BB2DFE"/>
    <w:rsid w:val="00BB36C4"/>
    <w:rsid w:val="00BB458A"/>
    <w:rsid w:val="00BB5C86"/>
    <w:rsid w:val="00BC122F"/>
    <w:rsid w:val="00BC3C0B"/>
    <w:rsid w:val="00BD00D3"/>
    <w:rsid w:val="00BD1659"/>
    <w:rsid w:val="00BD3AA9"/>
    <w:rsid w:val="00BD4A18"/>
    <w:rsid w:val="00BD566C"/>
    <w:rsid w:val="00BD5C7C"/>
    <w:rsid w:val="00BD5DCF"/>
    <w:rsid w:val="00BD6DB2"/>
    <w:rsid w:val="00BE11CF"/>
    <w:rsid w:val="00BE21AB"/>
    <w:rsid w:val="00BE259B"/>
    <w:rsid w:val="00BE2843"/>
    <w:rsid w:val="00BE55CB"/>
    <w:rsid w:val="00BE5C07"/>
    <w:rsid w:val="00BE76B2"/>
    <w:rsid w:val="00BF2D63"/>
    <w:rsid w:val="00BF4A17"/>
    <w:rsid w:val="00BF5125"/>
    <w:rsid w:val="00BF617A"/>
    <w:rsid w:val="00BF6CFC"/>
    <w:rsid w:val="00C0067F"/>
    <w:rsid w:val="00C01838"/>
    <w:rsid w:val="00C0379D"/>
    <w:rsid w:val="00C03931"/>
    <w:rsid w:val="00C05FE3"/>
    <w:rsid w:val="00C170BD"/>
    <w:rsid w:val="00C2003A"/>
    <w:rsid w:val="00C2136D"/>
    <w:rsid w:val="00C214EE"/>
    <w:rsid w:val="00C2314B"/>
    <w:rsid w:val="00C24971"/>
    <w:rsid w:val="00C26B31"/>
    <w:rsid w:val="00C26BE5"/>
    <w:rsid w:val="00C26E4D"/>
    <w:rsid w:val="00C27909"/>
    <w:rsid w:val="00C27B03"/>
    <w:rsid w:val="00C27CB9"/>
    <w:rsid w:val="00C314E1"/>
    <w:rsid w:val="00C320F8"/>
    <w:rsid w:val="00C32FA7"/>
    <w:rsid w:val="00C34397"/>
    <w:rsid w:val="00C35915"/>
    <w:rsid w:val="00C4095D"/>
    <w:rsid w:val="00C420C1"/>
    <w:rsid w:val="00C42996"/>
    <w:rsid w:val="00C52408"/>
    <w:rsid w:val="00C55061"/>
    <w:rsid w:val="00C601D2"/>
    <w:rsid w:val="00C603BA"/>
    <w:rsid w:val="00C657AB"/>
    <w:rsid w:val="00C65BCC"/>
    <w:rsid w:val="00C66970"/>
    <w:rsid w:val="00C679C1"/>
    <w:rsid w:val="00C71BA3"/>
    <w:rsid w:val="00C7486F"/>
    <w:rsid w:val="00C77BCF"/>
    <w:rsid w:val="00C80251"/>
    <w:rsid w:val="00C821D5"/>
    <w:rsid w:val="00C84103"/>
    <w:rsid w:val="00C85041"/>
    <w:rsid w:val="00C8691C"/>
    <w:rsid w:val="00C87AA5"/>
    <w:rsid w:val="00C87C66"/>
    <w:rsid w:val="00C934C8"/>
    <w:rsid w:val="00CA08A3"/>
    <w:rsid w:val="00CA168A"/>
    <w:rsid w:val="00CA357E"/>
    <w:rsid w:val="00CA44F9"/>
    <w:rsid w:val="00CA4A69"/>
    <w:rsid w:val="00CB0666"/>
    <w:rsid w:val="00CB56AF"/>
    <w:rsid w:val="00CB5FE6"/>
    <w:rsid w:val="00CB726C"/>
    <w:rsid w:val="00CC3E0C"/>
    <w:rsid w:val="00CC58D3"/>
    <w:rsid w:val="00CC784D"/>
    <w:rsid w:val="00CD4DAB"/>
    <w:rsid w:val="00CD55EC"/>
    <w:rsid w:val="00CD7B46"/>
    <w:rsid w:val="00CE0432"/>
    <w:rsid w:val="00CE5BC5"/>
    <w:rsid w:val="00CE7A8D"/>
    <w:rsid w:val="00CF2717"/>
    <w:rsid w:val="00CF5D1C"/>
    <w:rsid w:val="00D019E0"/>
    <w:rsid w:val="00D0337B"/>
    <w:rsid w:val="00D079B2"/>
    <w:rsid w:val="00D07AC8"/>
    <w:rsid w:val="00D10A70"/>
    <w:rsid w:val="00D114E9"/>
    <w:rsid w:val="00D12B88"/>
    <w:rsid w:val="00D1692A"/>
    <w:rsid w:val="00D17396"/>
    <w:rsid w:val="00D239FA"/>
    <w:rsid w:val="00D23AE1"/>
    <w:rsid w:val="00D276A6"/>
    <w:rsid w:val="00D27E82"/>
    <w:rsid w:val="00D34D0C"/>
    <w:rsid w:val="00D37ED9"/>
    <w:rsid w:val="00D41CAA"/>
    <w:rsid w:val="00D429C6"/>
    <w:rsid w:val="00D4448D"/>
    <w:rsid w:val="00D44FCF"/>
    <w:rsid w:val="00D47748"/>
    <w:rsid w:val="00D54CC3"/>
    <w:rsid w:val="00D6041A"/>
    <w:rsid w:val="00D633EB"/>
    <w:rsid w:val="00D70542"/>
    <w:rsid w:val="00D73F9A"/>
    <w:rsid w:val="00D74826"/>
    <w:rsid w:val="00D750A1"/>
    <w:rsid w:val="00D804DD"/>
    <w:rsid w:val="00D80DC4"/>
    <w:rsid w:val="00D82FF7"/>
    <w:rsid w:val="00D842CB"/>
    <w:rsid w:val="00D8454B"/>
    <w:rsid w:val="00D847FE"/>
    <w:rsid w:val="00D851EA"/>
    <w:rsid w:val="00D85E6E"/>
    <w:rsid w:val="00D90439"/>
    <w:rsid w:val="00D91F38"/>
    <w:rsid w:val="00D94BAC"/>
    <w:rsid w:val="00D964EA"/>
    <w:rsid w:val="00D966D0"/>
    <w:rsid w:val="00DA0C59"/>
    <w:rsid w:val="00DA3991"/>
    <w:rsid w:val="00DA7851"/>
    <w:rsid w:val="00DB0428"/>
    <w:rsid w:val="00DB16D9"/>
    <w:rsid w:val="00DB5833"/>
    <w:rsid w:val="00DB7E6C"/>
    <w:rsid w:val="00DC16CB"/>
    <w:rsid w:val="00DC2957"/>
    <w:rsid w:val="00DC3447"/>
    <w:rsid w:val="00DC5736"/>
    <w:rsid w:val="00DD0DC4"/>
    <w:rsid w:val="00DD5881"/>
    <w:rsid w:val="00DD5A29"/>
    <w:rsid w:val="00DD5D9D"/>
    <w:rsid w:val="00DD6ACC"/>
    <w:rsid w:val="00DE1D6D"/>
    <w:rsid w:val="00DE35CB"/>
    <w:rsid w:val="00DE5C7C"/>
    <w:rsid w:val="00DE6871"/>
    <w:rsid w:val="00DE6FEA"/>
    <w:rsid w:val="00DE7190"/>
    <w:rsid w:val="00DE759E"/>
    <w:rsid w:val="00DF04FD"/>
    <w:rsid w:val="00DF15E3"/>
    <w:rsid w:val="00DF21E9"/>
    <w:rsid w:val="00E00F14"/>
    <w:rsid w:val="00E030B1"/>
    <w:rsid w:val="00E06386"/>
    <w:rsid w:val="00E11119"/>
    <w:rsid w:val="00E14F17"/>
    <w:rsid w:val="00E1674E"/>
    <w:rsid w:val="00E24EB4"/>
    <w:rsid w:val="00E320ED"/>
    <w:rsid w:val="00E33AFB"/>
    <w:rsid w:val="00E33BEB"/>
    <w:rsid w:val="00E34218"/>
    <w:rsid w:val="00E46282"/>
    <w:rsid w:val="00E4780B"/>
    <w:rsid w:val="00E4792F"/>
    <w:rsid w:val="00E5216E"/>
    <w:rsid w:val="00E5262E"/>
    <w:rsid w:val="00E551BD"/>
    <w:rsid w:val="00E5682E"/>
    <w:rsid w:val="00E652B0"/>
    <w:rsid w:val="00E717B8"/>
    <w:rsid w:val="00E82344"/>
    <w:rsid w:val="00E826A3"/>
    <w:rsid w:val="00E84C82"/>
    <w:rsid w:val="00E84D64"/>
    <w:rsid w:val="00E8584A"/>
    <w:rsid w:val="00E85987"/>
    <w:rsid w:val="00E87408"/>
    <w:rsid w:val="00E8761D"/>
    <w:rsid w:val="00E9021F"/>
    <w:rsid w:val="00E90F62"/>
    <w:rsid w:val="00E914C4"/>
    <w:rsid w:val="00E934F5"/>
    <w:rsid w:val="00E96961"/>
    <w:rsid w:val="00EA6F09"/>
    <w:rsid w:val="00EA72EC"/>
    <w:rsid w:val="00EB11CB"/>
    <w:rsid w:val="00EB1BB9"/>
    <w:rsid w:val="00EB275A"/>
    <w:rsid w:val="00EB5822"/>
    <w:rsid w:val="00EB786A"/>
    <w:rsid w:val="00EB7BAA"/>
    <w:rsid w:val="00EC1578"/>
    <w:rsid w:val="00EC1C72"/>
    <w:rsid w:val="00EC38E0"/>
    <w:rsid w:val="00EC3CC9"/>
    <w:rsid w:val="00EC680A"/>
    <w:rsid w:val="00EC78C3"/>
    <w:rsid w:val="00ED0013"/>
    <w:rsid w:val="00ED282B"/>
    <w:rsid w:val="00ED2B9E"/>
    <w:rsid w:val="00EE2BED"/>
    <w:rsid w:val="00EE374B"/>
    <w:rsid w:val="00EE5C2F"/>
    <w:rsid w:val="00EE7014"/>
    <w:rsid w:val="00EF0A87"/>
    <w:rsid w:val="00EF4B84"/>
    <w:rsid w:val="00EF608A"/>
    <w:rsid w:val="00F000B1"/>
    <w:rsid w:val="00F05385"/>
    <w:rsid w:val="00F05BFE"/>
    <w:rsid w:val="00F06068"/>
    <w:rsid w:val="00F11BB5"/>
    <w:rsid w:val="00F1417B"/>
    <w:rsid w:val="00F22168"/>
    <w:rsid w:val="00F2377D"/>
    <w:rsid w:val="00F30320"/>
    <w:rsid w:val="00F34B99"/>
    <w:rsid w:val="00F41771"/>
    <w:rsid w:val="00F41AE5"/>
    <w:rsid w:val="00F4745A"/>
    <w:rsid w:val="00F47702"/>
    <w:rsid w:val="00F519E4"/>
    <w:rsid w:val="00F52DAB"/>
    <w:rsid w:val="00F543F0"/>
    <w:rsid w:val="00F5539F"/>
    <w:rsid w:val="00F55682"/>
    <w:rsid w:val="00F57527"/>
    <w:rsid w:val="00F70E59"/>
    <w:rsid w:val="00F75889"/>
    <w:rsid w:val="00F7661C"/>
    <w:rsid w:val="00F7743B"/>
    <w:rsid w:val="00F81D29"/>
    <w:rsid w:val="00F82E93"/>
    <w:rsid w:val="00F87772"/>
    <w:rsid w:val="00F910BD"/>
    <w:rsid w:val="00F91C4D"/>
    <w:rsid w:val="00F92FD9"/>
    <w:rsid w:val="00F937D5"/>
    <w:rsid w:val="00F958C1"/>
    <w:rsid w:val="00F97F93"/>
    <w:rsid w:val="00FA03E9"/>
    <w:rsid w:val="00FA6684"/>
    <w:rsid w:val="00FA731E"/>
    <w:rsid w:val="00FB2B38"/>
    <w:rsid w:val="00FC37CE"/>
    <w:rsid w:val="00FC6358"/>
    <w:rsid w:val="00FD1FB3"/>
    <w:rsid w:val="00FD320D"/>
    <w:rsid w:val="00FE23DE"/>
    <w:rsid w:val="00FE3FEF"/>
    <w:rsid w:val="00FE6F18"/>
    <w:rsid w:val="00FF7A93"/>
    <w:rsid w:val="05630B2F"/>
    <w:rsid w:val="079156A9"/>
    <w:rsid w:val="080A41DD"/>
    <w:rsid w:val="10DB116E"/>
    <w:rsid w:val="14EC699F"/>
    <w:rsid w:val="1E5663AC"/>
    <w:rsid w:val="1FF539D5"/>
    <w:rsid w:val="24582872"/>
    <w:rsid w:val="287B523A"/>
    <w:rsid w:val="2D6A52D3"/>
    <w:rsid w:val="2F4035CA"/>
    <w:rsid w:val="31DF2E9B"/>
    <w:rsid w:val="34C8798C"/>
    <w:rsid w:val="397B0C3C"/>
    <w:rsid w:val="3B1C0939"/>
    <w:rsid w:val="3B71798C"/>
    <w:rsid w:val="3D70565A"/>
    <w:rsid w:val="3DBF59D9"/>
    <w:rsid w:val="3E934FF8"/>
    <w:rsid w:val="3EDA442A"/>
    <w:rsid w:val="40B31185"/>
    <w:rsid w:val="40D60D7D"/>
    <w:rsid w:val="4A697439"/>
    <w:rsid w:val="4CAE37E9"/>
    <w:rsid w:val="4D1B5B3E"/>
    <w:rsid w:val="4F0B4C47"/>
    <w:rsid w:val="4F526FE4"/>
    <w:rsid w:val="525A68F2"/>
    <w:rsid w:val="533340EB"/>
    <w:rsid w:val="589A538C"/>
    <w:rsid w:val="596573B4"/>
    <w:rsid w:val="5A100E7F"/>
    <w:rsid w:val="5B33185A"/>
    <w:rsid w:val="5BAE42AE"/>
    <w:rsid w:val="660A342C"/>
    <w:rsid w:val="66243516"/>
    <w:rsid w:val="66DE7317"/>
    <w:rsid w:val="6CFC20B1"/>
    <w:rsid w:val="6ED07106"/>
    <w:rsid w:val="6FE9144E"/>
    <w:rsid w:val="70A40A5A"/>
    <w:rsid w:val="72070B8E"/>
    <w:rsid w:val="742A798C"/>
    <w:rsid w:val="76641870"/>
    <w:rsid w:val="76D076A2"/>
    <w:rsid w:val="7A71004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3">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annotation text"/>
    <w:basedOn w:val="1"/>
    <w:link w:val="40"/>
    <w:qFormat/>
    <w:uiPriority w:val="0"/>
    <w:pPr>
      <w:jc w:val="left"/>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qFormat/>
    <w:uiPriority w:val="39"/>
    <w:pPr>
      <w:tabs>
        <w:tab w:val="right" w:leader="dot" w:pos="9241"/>
      </w:tabs>
      <w:ind w:firstLine="100"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Balloon Text"/>
    <w:basedOn w:val="1"/>
    <w:semiHidden/>
    <w:qFormat/>
    <w:uiPriority w:val="0"/>
    <w:rPr>
      <w:sz w:val="18"/>
      <w:szCs w:val="18"/>
    </w:rPr>
  </w:style>
  <w:style w:type="paragraph" w:styleId="16">
    <w:name w:val="footer"/>
    <w:basedOn w:val="1"/>
    <w:qFormat/>
    <w:uiPriority w:val="0"/>
    <w:pPr>
      <w:snapToGrid w:val="0"/>
      <w:ind w:right="210" w:rightChars="100"/>
      <w:jc w:val="right"/>
    </w:pPr>
    <w:rPr>
      <w:sz w:val="18"/>
      <w:szCs w:val="18"/>
    </w:rPr>
  </w:style>
  <w:style w:type="paragraph" w:styleId="17">
    <w:name w:val="header"/>
    <w:basedOn w:val="1"/>
    <w:qFormat/>
    <w:uiPriority w:val="0"/>
    <w:pPr>
      <w:snapToGrid w:val="0"/>
      <w:jc w:val="left"/>
    </w:pPr>
    <w:rPr>
      <w:sz w:val="18"/>
      <w:szCs w:val="18"/>
    </w:rPr>
  </w:style>
  <w:style w:type="paragraph" w:styleId="18">
    <w:name w:val="toc 1"/>
    <w:basedOn w:val="1"/>
    <w:next w:val="1"/>
    <w:qFormat/>
    <w:uiPriority w:val="39"/>
    <w:pPr>
      <w:tabs>
        <w:tab w:val="right" w:leader="dot" w:pos="9242"/>
      </w:tabs>
      <w:spacing w:before="25" w:beforeLines="25" w:after="25" w:afterLines="25"/>
      <w:jc w:val="left"/>
    </w:pPr>
    <w:rPr>
      <w:rFonts w:ascii="宋体"/>
      <w:szCs w:val="21"/>
    </w:rPr>
  </w:style>
  <w:style w:type="paragraph" w:styleId="19">
    <w:name w:val="toc 4"/>
    <w:basedOn w:val="1"/>
    <w:next w:val="1"/>
    <w:semiHidden/>
    <w:qFormat/>
    <w:uiPriority w:val="0"/>
    <w:pPr>
      <w:tabs>
        <w:tab w:val="right" w:leader="dot" w:pos="9241"/>
      </w:tabs>
      <w:ind w:firstLine="200" w:firstLineChars="200"/>
      <w:jc w:val="left"/>
    </w:pPr>
    <w:rPr>
      <w:rFonts w:ascii="宋体"/>
      <w:szCs w:val="21"/>
    </w:rPr>
  </w:style>
  <w:style w:type="paragraph" w:styleId="20">
    <w:name w:val="index heading"/>
    <w:basedOn w:val="1"/>
    <w:next w:val="21"/>
    <w:qFormat/>
    <w:uiPriority w:val="0"/>
    <w:pPr>
      <w:spacing w:before="120" w:after="120"/>
      <w:jc w:val="center"/>
    </w:pPr>
    <w:rPr>
      <w:rFonts w:ascii="Calibri" w:hAnsi="Calibri"/>
      <w:b/>
      <w:bCs/>
      <w:iCs/>
      <w:szCs w:val="20"/>
    </w:rPr>
  </w:style>
  <w:style w:type="paragraph" w:styleId="21">
    <w:name w:val="index 1"/>
    <w:basedOn w:val="1"/>
    <w:next w:val="22"/>
    <w:qFormat/>
    <w:uiPriority w:val="0"/>
    <w:pPr>
      <w:tabs>
        <w:tab w:val="right" w:leader="dot" w:pos="9299"/>
      </w:tabs>
      <w:jc w:val="left"/>
    </w:pPr>
    <w:rPr>
      <w:rFonts w:ascii="宋体"/>
      <w:szCs w:val="21"/>
    </w:rPr>
  </w:style>
  <w:style w:type="paragraph" w:customStyle="1" w:styleId="22">
    <w:name w:val="段"/>
    <w:link w:val="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3">
    <w:name w:val="footnote text"/>
    <w:basedOn w:val="1"/>
    <w:qFormat/>
    <w:uiPriority w:val="0"/>
    <w:pPr>
      <w:numPr>
        <w:ilvl w:val="0"/>
        <w:numId w:val="1"/>
      </w:numPr>
      <w:snapToGrid w:val="0"/>
      <w:jc w:val="left"/>
    </w:pPr>
    <w:rPr>
      <w:rFonts w:ascii="宋体"/>
      <w:sz w:val="18"/>
      <w:szCs w:val="18"/>
    </w:rPr>
  </w:style>
  <w:style w:type="paragraph" w:styleId="24">
    <w:name w:val="toc 6"/>
    <w:basedOn w:val="1"/>
    <w:next w:val="1"/>
    <w:semiHidden/>
    <w:qFormat/>
    <w:uiPriority w:val="0"/>
    <w:pPr>
      <w:tabs>
        <w:tab w:val="right" w:leader="dot" w:pos="9241"/>
      </w:tabs>
      <w:ind w:firstLine="400" w:firstLineChars="400"/>
      <w:jc w:val="left"/>
    </w:pPr>
    <w:rPr>
      <w:rFonts w:ascii="宋体"/>
      <w:szCs w:val="21"/>
    </w:rPr>
  </w:style>
  <w:style w:type="paragraph" w:styleId="25">
    <w:name w:val="index 7"/>
    <w:basedOn w:val="1"/>
    <w:next w:val="1"/>
    <w:qFormat/>
    <w:uiPriority w:val="0"/>
    <w:pPr>
      <w:ind w:left="1470" w:hanging="210"/>
      <w:jc w:val="left"/>
    </w:pPr>
    <w:rPr>
      <w:rFonts w:ascii="Calibri" w:hAnsi="Calibri"/>
      <w:sz w:val="20"/>
      <w:szCs w:val="20"/>
    </w:rPr>
  </w:style>
  <w:style w:type="paragraph" w:styleId="26">
    <w:name w:val="index 9"/>
    <w:basedOn w:val="1"/>
    <w:next w:val="1"/>
    <w:qFormat/>
    <w:uiPriority w:val="0"/>
    <w:pPr>
      <w:ind w:left="1890" w:hanging="210"/>
      <w:jc w:val="left"/>
    </w:pPr>
    <w:rPr>
      <w:rFonts w:ascii="Calibri" w:hAnsi="Calibri"/>
      <w:sz w:val="20"/>
      <w:szCs w:val="20"/>
    </w:rPr>
  </w:style>
  <w:style w:type="paragraph" w:styleId="27">
    <w:name w:val="toc 2"/>
    <w:basedOn w:val="1"/>
    <w:next w:val="1"/>
    <w:semiHidden/>
    <w:qFormat/>
    <w:uiPriority w:val="0"/>
    <w:pPr>
      <w:tabs>
        <w:tab w:val="right" w:leader="dot" w:pos="9242"/>
      </w:tabs>
    </w:pPr>
    <w:rPr>
      <w:rFonts w:ascii="宋体"/>
      <w:szCs w:val="21"/>
    </w:rPr>
  </w:style>
  <w:style w:type="paragraph" w:styleId="28">
    <w:name w:val="toc 9"/>
    <w:basedOn w:val="1"/>
    <w:next w:val="1"/>
    <w:semiHidden/>
    <w:qFormat/>
    <w:uiPriority w:val="0"/>
    <w:pPr>
      <w:ind w:left="1470"/>
      <w:jc w:val="left"/>
    </w:pPr>
    <w:rPr>
      <w:sz w:val="20"/>
      <w:szCs w:val="20"/>
    </w:rPr>
  </w:style>
  <w:style w:type="paragraph" w:styleId="29">
    <w:name w:val="index 2"/>
    <w:basedOn w:val="1"/>
    <w:next w:val="1"/>
    <w:qFormat/>
    <w:uiPriority w:val="0"/>
    <w:pPr>
      <w:ind w:left="420" w:hanging="210"/>
      <w:jc w:val="left"/>
    </w:pPr>
    <w:rPr>
      <w:rFonts w:ascii="Calibri" w:hAnsi="Calibri"/>
      <w:sz w:val="20"/>
      <w:szCs w:val="20"/>
    </w:rPr>
  </w:style>
  <w:style w:type="paragraph" w:styleId="30">
    <w:name w:val="annotation subject"/>
    <w:basedOn w:val="7"/>
    <w:next w:val="7"/>
    <w:link w:val="42"/>
    <w:qFormat/>
    <w:uiPriority w:val="0"/>
    <w:rPr>
      <w:b/>
      <w:bCs/>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semiHidden/>
    <w:qFormat/>
    <w:uiPriority w:val="0"/>
    <w:rPr>
      <w:vertAlign w:val="superscript"/>
    </w:rPr>
  </w:style>
  <w:style w:type="character" w:styleId="35">
    <w:name w:val="page number"/>
    <w:qFormat/>
    <w:uiPriority w:val="0"/>
    <w:rPr>
      <w:rFonts w:ascii="Times New Roman" w:hAnsi="Times New Roman" w:eastAsia="宋体"/>
      <w:sz w:val="18"/>
    </w:rPr>
  </w:style>
  <w:style w:type="character" w:styleId="36">
    <w:name w:val="FollowedHyperlink"/>
    <w:qFormat/>
    <w:uiPriority w:val="0"/>
    <w:rPr>
      <w:color w:val="800080"/>
      <w:u w:val="single"/>
    </w:rPr>
  </w:style>
  <w:style w:type="character" w:styleId="37">
    <w:name w:val="Hyperlink"/>
    <w:qFormat/>
    <w:uiPriority w:val="99"/>
    <w:rPr>
      <w:color w:val="0000FF"/>
      <w:spacing w:val="0"/>
      <w:w w:val="100"/>
      <w:szCs w:val="21"/>
      <w:u w:val="single"/>
    </w:rPr>
  </w:style>
  <w:style w:type="character" w:styleId="38">
    <w:name w:val="annotation reference"/>
    <w:qFormat/>
    <w:uiPriority w:val="0"/>
    <w:rPr>
      <w:sz w:val="21"/>
      <w:szCs w:val="21"/>
    </w:rPr>
  </w:style>
  <w:style w:type="character" w:styleId="39">
    <w:name w:val="footnote reference"/>
    <w:semiHidden/>
    <w:qFormat/>
    <w:uiPriority w:val="0"/>
    <w:rPr>
      <w:vertAlign w:val="superscript"/>
    </w:rPr>
  </w:style>
  <w:style w:type="character" w:customStyle="1" w:styleId="40">
    <w:name w:val="批注文字 字符"/>
    <w:link w:val="7"/>
    <w:qFormat/>
    <w:uiPriority w:val="0"/>
    <w:rPr>
      <w:kern w:val="2"/>
      <w:sz w:val="21"/>
      <w:szCs w:val="24"/>
    </w:rPr>
  </w:style>
  <w:style w:type="character" w:customStyle="1" w:styleId="41">
    <w:name w:val="段 Char"/>
    <w:link w:val="22"/>
    <w:qFormat/>
    <w:uiPriority w:val="0"/>
    <w:rPr>
      <w:rFonts w:ascii="宋体"/>
      <w:sz w:val="21"/>
      <w:lang w:val="en-US" w:eastAsia="zh-CN" w:bidi="ar-SA"/>
    </w:rPr>
  </w:style>
  <w:style w:type="character" w:customStyle="1" w:styleId="42">
    <w:name w:val="批注主题 字符"/>
    <w:link w:val="30"/>
    <w:qFormat/>
    <w:uiPriority w:val="0"/>
    <w:rPr>
      <w:b/>
      <w:bCs/>
      <w:kern w:val="2"/>
      <w:sz w:val="21"/>
      <w:szCs w:val="24"/>
    </w:rPr>
  </w:style>
  <w:style w:type="character" w:customStyle="1" w:styleId="43">
    <w:name w:val="附录公式 Char"/>
    <w:basedOn w:val="41"/>
    <w:link w:val="44"/>
    <w:qFormat/>
    <w:uiPriority w:val="0"/>
  </w:style>
  <w:style w:type="paragraph" w:customStyle="1" w:styleId="44">
    <w:name w:val="附录公式"/>
    <w:basedOn w:val="22"/>
    <w:next w:val="22"/>
    <w:link w:val="43"/>
    <w:qFormat/>
    <w:uiPriority w:val="0"/>
  </w:style>
  <w:style w:type="character" w:customStyle="1" w:styleId="45">
    <w:name w:val="发布"/>
    <w:qFormat/>
    <w:uiPriority w:val="0"/>
    <w:rPr>
      <w:rFonts w:ascii="黑体" w:eastAsia="黑体"/>
      <w:spacing w:val="85"/>
      <w:w w:val="100"/>
      <w:position w:val="3"/>
      <w:sz w:val="28"/>
      <w:szCs w:val="28"/>
    </w:rPr>
  </w:style>
  <w:style w:type="character" w:customStyle="1" w:styleId="46">
    <w:name w:val="首示例 Char"/>
    <w:link w:val="47"/>
    <w:qFormat/>
    <w:uiPriority w:val="0"/>
    <w:rPr>
      <w:rFonts w:ascii="宋体" w:hAnsi="宋体"/>
      <w:kern w:val="2"/>
      <w:sz w:val="18"/>
      <w:szCs w:val="18"/>
    </w:rPr>
  </w:style>
  <w:style w:type="paragraph" w:customStyle="1" w:styleId="47">
    <w:name w:val="首示例"/>
    <w:next w:val="22"/>
    <w:link w:val="46"/>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paragraph" w:customStyle="1" w:styleId="48">
    <w:name w:val="附录二级条标题"/>
    <w:basedOn w:val="1"/>
    <w:next w:val="22"/>
    <w:qFormat/>
    <w:uiPriority w:val="0"/>
    <w:pPr>
      <w:widowControl/>
      <w:numPr>
        <w:ilvl w:val="3"/>
        <w:numId w:val="3"/>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49">
    <w:name w:val="附录表标号"/>
    <w:basedOn w:val="1"/>
    <w:next w:val="22"/>
    <w:qFormat/>
    <w:uiPriority w:val="0"/>
    <w:pPr>
      <w:numPr>
        <w:ilvl w:val="0"/>
        <w:numId w:val="4"/>
      </w:numPr>
      <w:tabs>
        <w:tab w:val="clear" w:pos="0"/>
      </w:tabs>
      <w:spacing w:line="14" w:lineRule="exact"/>
      <w:ind w:left="811" w:hanging="448"/>
      <w:jc w:val="center"/>
      <w:outlineLvl w:val="0"/>
    </w:pPr>
    <w:rPr>
      <w:color w:val="FFFFFF"/>
    </w:rPr>
  </w:style>
  <w:style w:type="paragraph" w:customStyle="1" w:styleId="50">
    <w:name w:val="附录三级无"/>
    <w:basedOn w:val="51"/>
    <w:qFormat/>
    <w:uiPriority w:val="0"/>
    <w:pPr>
      <w:tabs>
        <w:tab w:val="left" w:pos="360"/>
      </w:tabs>
      <w:spacing w:before="0" w:beforeLines="0" w:after="0" w:afterLines="0"/>
    </w:pPr>
    <w:rPr>
      <w:rFonts w:ascii="宋体" w:eastAsia="宋体"/>
      <w:szCs w:val="21"/>
    </w:rPr>
  </w:style>
  <w:style w:type="paragraph" w:customStyle="1" w:styleId="51">
    <w:name w:val="附录三级条标题"/>
    <w:basedOn w:val="48"/>
    <w:next w:val="22"/>
    <w:qFormat/>
    <w:uiPriority w:val="0"/>
    <w:pPr>
      <w:numPr>
        <w:ilvl w:val="4"/>
        <w:numId w:val="3"/>
      </w:numPr>
      <w:outlineLvl w:val="4"/>
    </w:pPr>
  </w:style>
  <w:style w:type="paragraph" w:customStyle="1" w:styleId="52">
    <w:name w:val="三级条标题"/>
    <w:basedOn w:val="53"/>
    <w:next w:val="22"/>
    <w:qFormat/>
    <w:uiPriority w:val="0"/>
    <w:pPr>
      <w:numPr>
        <w:ilvl w:val="3"/>
        <w:numId w:val="5"/>
      </w:numPr>
      <w:outlineLvl w:val="4"/>
    </w:pPr>
  </w:style>
  <w:style w:type="paragraph" w:customStyle="1" w:styleId="53">
    <w:name w:val="二级条标题"/>
    <w:basedOn w:val="54"/>
    <w:next w:val="22"/>
    <w:qFormat/>
    <w:uiPriority w:val="0"/>
    <w:pPr>
      <w:numPr>
        <w:ilvl w:val="2"/>
        <w:numId w:val="5"/>
      </w:numPr>
      <w:spacing w:before="50" w:after="50"/>
      <w:outlineLvl w:val="3"/>
    </w:pPr>
  </w:style>
  <w:style w:type="paragraph" w:customStyle="1" w:styleId="54">
    <w:name w:val="一级条标题"/>
    <w:next w:val="22"/>
    <w:qFormat/>
    <w:uiPriority w:val="0"/>
    <w:pPr>
      <w:numPr>
        <w:ilvl w:val="1"/>
        <w:numId w:val="5"/>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5">
    <w:name w:val="List Paragraph"/>
    <w:basedOn w:val="1"/>
    <w:qFormat/>
    <w:uiPriority w:val="0"/>
    <w:pPr>
      <w:ind w:firstLine="420" w:firstLineChars="200"/>
    </w:pPr>
    <w:rPr>
      <w:rFonts w:ascii="Calibri" w:hAnsi="Calibri" w:cs="Calibri"/>
      <w:szCs w:val="21"/>
    </w:rPr>
  </w:style>
  <w:style w:type="paragraph" w:customStyle="1" w:styleId="56">
    <w:name w:val="示例×："/>
    <w:basedOn w:val="57"/>
    <w:qFormat/>
    <w:uiPriority w:val="0"/>
    <w:pPr>
      <w:numPr>
        <w:ilvl w:val="0"/>
        <w:numId w:val="6"/>
      </w:numPr>
      <w:spacing w:before="0" w:beforeLines="0" w:after="0" w:afterLines="0"/>
      <w:outlineLvl w:val="9"/>
    </w:pPr>
    <w:rPr>
      <w:rFonts w:ascii="宋体" w:eastAsia="宋体"/>
      <w:sz w:val="18"/>
      <w:szCs w:val="18"/>
    </w:rPr>
  </w:style>
  <w:style w:type="paragraph" w:customStyle="1" w:styleId="57">
    <w:name w:val="章标题"/>
    <w:next w:val="22"/>
    <w:qFormat/>
    <w:uiPriority w:val="0"/>
    <w:pPr>
      <w:numPr>
        <w:ilvl w:val="0"/>
        <w:numId w:val="5"/>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8">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五级无"/>
    <w:basedOn w:val="60"/>
    <w:qFormat/>
    <w:uiPriority w:val="0"/>
    <w:pPr>
      <w:tabs>
        <w:tab w:val="left" w:pos="360"/>
      </w:tabs>
      <w:spacing w:before="0" w:beforeLines="0" w:after="0" w:afterLines="0"/>
    </w:pPr>
    <w:rPr>
      <w:rFonts w:ascii="宋体" w:eastAsia="宋体"/>
      <w:szCs w:val="21"/>
    </w:rPr>
  </w:style>
  <w:style w:type="paragraph" w:customStyle="1" w:styleId="60">
    <w:name w:val="附录五级条标题"/>
    <w:basedOn w:val="61"/>
    <w:next w:val="22"/>
    <w:qFormat/>
    <w:uiPriority w:val="0"/>
    <w:pPr>
      <w:numPr>
        <w:ilvl w:val="6"/>
        <w:numId w:val="3"/>
      </w:numPr>
      <w:tabs>
        <w:tab w:val="left" w:pos="360"/>
      </w:tabs>
      <w:outlineLvl w:val="6"/>
    </w:pPr>
  </w:style>
  <w:style w:type="paragraph" w:customStyle="1" w:styleId="61">
    <w:name w:val="附录四级条标题"/>
    <w:basedOn w:val="51"/>
    <w:next w:val="22"/>
    <w:qFormat/>
    <w:uiPriority w:val="0"/>
    <w:pPr>
      <w:numPr>
        <w:ilvl w:val="5"/>
        <w:numId w:val="3"/>
      </w:numPr>
      <w:outlineLvl w:val="5"/>
    </w:pPr>
  </w:style>
  <w:style w:type="paragraph" w:customStyle="1" w:styleId="62">
    <w:name w:val="其他发布日期"/>
    <w:basedOn w:val="63"/>
    <w:qFormat/>
    <w:uiPriority w:val="0"/>
    <w:pPr>
      <w:framePr w:vAnchor="page" w:hAnchor="page" w:x="1419"/>
    </w:pPr>
  </w:style>
  <w:style w:type="paragraph" w:customStyle="1" w:styleId="6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64">
    <w:name w:val="注：（正文）"/>
    <w:basedOn w:val="65"/>
    <w:next w:val="22"/>
    <w:qFormat/>
    <w:uiPriority w:val="0"/>
  </w:style>
  <w:style w:type="paragraph" w:customStyle="1" w:styleId="65">
    <w:name w:val="注："/>
    <w:next w:val="22"/>
    <w:qFormat/>
    <w:uiPriority w:val="0"/>
    <w:pPr>
      <w:widowControl w:val="0"/>
      <w:numPr>
        <w:ilvl w:val="0"/>
        <w:numId w:val="8"/>
      </w:numPr>
      <w:autoSpaceDE w:val="0"/>
      <w:autoSpaceDN w:val="0"/>
      <w:jc w:val="both"/>
    </w:pPr>
    <w:rPr>
      <w:rFonts w:ascii="宋体" w:hAnsi="Times New Roman" w:eastAsia="宋体" w:cs="Times New Roman"/>
      <w:sz w:val="18"/>
      <w:szCs w:val="18"/>
      <w:lang w:val="en-US" w:eastAsia="zh-CN" w:bidi="ar-SA"/>
    </w:rPr>
  </w:style>
  <w:style w:type="paragraph" w:customStyle="1" w:styleId="6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67">
    <w:name w:val="正文图标题"/>
    <w:next w:val="22"/>
    <w:qFormat/>
    <w:uiPriority w:val="0"/>
    <w:pPr>
      <w:numPr>
        <w:ilvl w:val="0"/>
        <w:numId w:val="9"/>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8">
    <w:name w:val="_Style 67"/>
    <w:unhideWhenUsed/>
    <w:qFormat/>
    <w:uiPriority w:val="99"/>
    <w:rPr>
      <w:rFonts w:ascii="Times New Roman" w:hAnsi="Times New Roman" w:eastAsia="宋体" w:cs="Times New Roman"/>
      <w:kern w:val="2"/>
      <w:sz w:val="21"/>
      <w:szCs w:val="24"/>
      <w:lang w:val="en-US" w:eastAsia="zh-CN" w:bidi="ar-SA"/>
    </w:rPr>
  </w:style>
  <w:style w:type="paragraph" w:customStyle="1" w:styleId="69">
    <w:name w:val="附录一级条标题"/>
    <w:basedOn w:val="70"/>
    <w:next w:val="22"/>
    <w:qFormat/>
    <w:uiPriority w:val="0"/>
    <w:pPr>
      <w:numPr>
        <w:ilvl w:val="2"/>
        <w:numId w:val="3"/>
      </w:numPr>
      <w:tabs>
        <w:tab w:val="left" w:pos="360"/>
      </w:tabs>
      <w:autoSpaceDN w:val="0"/>
      <w:spacing w:before="50" w:beforeLines="50" w:after="50" w:afterLines="50"/>
      <w:outlineLvl w:val="2"/>
    </w:pPr>
  </w:style>
  <w:style w:type="paragraph" w:customStyle="1" w:styleId="70">
    <w:name w:val="附录章标题"/>
    <w:next w:val="22"/>
    <w:qFormat/>
    <w:uiPriority w:val="0"/>
    <w:pPr>
      <w:numPr>
        <w:ilvl w:val="1"/>
        <w:numId w:val="3"/>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1">
    <w:name w:val="附录数字编号列项（二级）"/>
    <w:qFormat/>
    <w:uiPriority w:val="0"/>
    <w:pPr>
      <w:numPr>
        <w:ilvl w:val="1"/>
        <w:numId w:val="10"/>
      </w:numPr>
    </w:pPr>
    <w:rPr>
      <w:rFonts w:ascii="宋体" w:hAnsi="Times New Roman" w:eastAsia="宋体" w:cs="Times New Roman"/>
      <w:sz w:val="21"/>
      <w:lang w:val="en-US" w:eastAsia="zh-CN" w:bidi="ar-SA"/>
    </w:rPr>
  </w:style>
  <w:style w:type="paragraph" w:customStyle="1" w:styleId="72">
    <w:name w:val="列项◆（三级）"/>
    <w:basedOn w:val="1"/>
    <w:qFormat/>
    <w:uiPriority w:val="0"/>
    <w:pPr>
      <w:numPr>
        <w:ilvl w:val="2"/>
        <w:numId w:val="11"/>
      </w:numPr>
    </w:pPr>
    <w:rPr>
      <w:rFonts w:ascii="宋体"/>
      <w:szCs w:val="21"/>
    </w:rPr>
  </w:style>
  <w:style w:type="paragraph" w:customStyle="1" w:styleId="73">
    <w:name w:val="实施日期"/>
    <w:basedOn w:val="63"/>
    <w:qFormat/>
    <w:uiPriority w:val="0"/>
    <w:pPr>
      <w:framePr w:vAnchor="page" w:hAnchor="page"/>
      <w:jc w:val="right"/>
    </w:pPr>
  </w:style>
  <w:style w:type="paragraph" w:customStyle="1" w:styleId="74">
    <w:name w:val="图表脚注说明"/>
    <w:basedOn w:val="1"/>
    <w:qFormat/>
    <w:uiPriority w:val="0"/>
    <w:pPr>
      <w:numPr>
        <w:ilvl w:val="0"/>
        <w:numId w:val="12"/>
      </w:numPr>
    </w:pPr>
    <w:rPr>
      <w:rFonts w:ascii="宋体"/>
      <w:sz w:val="18"/>
      <w:szCs w:val="18"/>
    </w:rPr>
  </w:style>
  <w:style w:type="paragraph" w:customStyle="1" w:styleId="75">
    <w:name w:val="条文脚注"/>
    <w:basedOn w:val="23"/>
    <w:qFormat/>
    <w:uiPriority w:val="0"/>
    <w:pPr>
      <w:numPr>
        <w:ilvl w:val="0"/>
        <w:numId w:val="0"/>
      </w:numPr>
      <w:jc w:val="both"/>
    </w:pPr>
    <w:rPr>
      <w:rFonts w:ascii="宋体"/>
    </w:rPr>
  </w:style>
  <w:style w:type="paragraph" w:customStyle="1" w:styleId="76">
    <w:name w:val="四级无"/>
    <w:basedOn w:val="77"/>
    <w:qFormat/>
    <w:uiPriority w:val="0"/>
    <w:pPr>
      <w:spacing w:before="0" w:beforeLines="0" w:after="0" w:afterLines="0"/>
    </w:pPr>
    <w:rPr>
      <w:rFonts w:ascii="宋体" w:eastAsia="宋体"/>
    </w:rPr>
  </w:style>
  <w:style w:type="paragraph" w:customStyle="1" w:styleId="77">
    <w:name w:val="四级条标题"/>
    <w:basedOn w:val="52"/>
    <w:next w:val="22"/>
    <w:qFormat/>
    <w:uiPriority w:val="0"/>
    <w:pPr>
      <w:numPr>
        <w:ilvl w:val="4"/>
        <w:numId w:val="5"/>
      </w:numPr>
      <w:outlineLvl w:val="5"/>
    </w:pPr>
  </w:style>
  <w:style w:type="paragraph" w:customStyle="1" w:styleId="78">
    <w:name w:val="封面一致性程度标识"/>
    <w:basedOn w:val="79"/>
    <w:qFormat/>
    <w:uiPriority w:val="0"/>
    <w:pPr>
      <w:spacing w:before="440"/>
    </w:pPr>
    <w:rPr>
      <w:rFonts w:ascii="宋体" w:eastAsia="宋体"/>
    </w:rPr>
  </w:style>
  <w:style w:type="paragraph" w:customStyle="1" w:styleId="79">
    <w:name w:val="封面标准英文名称"/>
    <w:basedOn w:val="80"/>
    <w:qFormat/>
    <w:uiPriority w:val="0"/>
    <w:pPr>
      <w:spacing w:before="370" w:line="400" w:lineRule="exact"/>
    </w:pPr>
    <w:rPr>
      <w:rFonts w:ascii="Times New Roman"/>
      <w:sz w:val="28"/>
      <w:szCs w:val="28"/>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82">
    <w:name w:val="封面一致性程度标识2"/>
    <w:basedOn w:val="78"/>
    <w:qFormat/>
    <w:uiPriority w:val="0"/>
    <w:pPr>
      <w:framePr w:y="4469"/>
    </w:pPr>
  </w:style>
  <w:style w:type="paragraph" w:customStyle="1" w:styleId="83">
    <w:name w:val="列项●（二级）"/>
    <w:qFormat/>
    <w:uiPriority w:val="0"/>
    <w:pPr>
      <w:numPr>
        <w:ilvl w:val="1"/>
        <w:numId w:val="11"/>
      </w:numPr>
      <w:tabs>
        <w:tab w:val="left" w:pos="840"/>
      </w:tabs>
      <w:jc w:val="both"/>
    </w:pPr>
    <w:rPr>
      <w:rFonts w:ascii="宋体" w:hAnsi="Times New Roman" w:eastAsia="宋体" w:cs="Times New Roman"/>
      <w:sz w:val="21"/>
      <w:lang w:val="en-US" w:eastAsia="zh-CN" w:bidi="ar-SA"/>
    </w:rPr>
  </w:style>
  <w:style w:type="paragraph" w:customStyle="1" w:styleId="84">
    <w:name w:val="三级无"/>
    <w:basedOn w:val="52"/>
    <w:qFormat/>
    <w:uiPriority w:val="0"/>
    <w:pPr>
      <w:spacing w:before="0" w:beforeLines="0" w:after="0" w:afterLines="0"/>
    </w:pPr>
    <w:rPr>
      <w:rFonts w:ascii="宋体" w:eastAsia="宋体"/>
    </w:rPr>
  </w:style>
  <w:style w:type="paragraph" w:customStyle="1" w:styleId="85">
    <w:name w:val="注×：（正文）"/>
    <w:qFormat/>
    <w:uiPriority w:val="0"/>
    <w:pPr>
      <w:numPr>
        <w:ilvl w:val="0"/>
        <w:numId w:val="14"/>
      </w:numPr>
      <w:jc w:val="both"/>
    </w:pPr>
    <w:rPr>
      <w:rFonts w:ascii="宋体" w:hAnsi="Times New Roman" w:eastAsia="宋体" w:cs="Times New Roman"/>
      <w:sz w:val="18"/>
      <w:szCs w:val="18"/>
      <w:lang w:val="en-US" w:eastAsia="zh-CN" w:bidi="ar-SA"/>
    </w:rPr>
  </w:style>
  <w:style w:type="paragraph" w:customStyle="1" w:styleId="86">
    <w:name w:val="附录标识"/>
    <w:basedOn w:val="1"/>
    <w:next w:val="22"/>
    <w:qFormat/>
    <w:uiPriority w:val="0"/>
    <w:pPr>
      <w:keepNext/>
      <w:widowControl/>
      <w:numPr>
        <w:ilvl w:val="0"/>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7">
    <w:name w:val="目次、标准名称标题"/>
    <w:basedOn w:val="1"/>
    <w:next w:val="2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8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0">
    <w:name w:val="封面正文"/>
    <w:qFormat/>
    <w:uiPriority w:val="0"/>
    <w:pPr>
      <w:jc w:val="both"/>
    </w:pPr>
    <w:rPr>
      <w:rFonts w:ascii="Times New Roman" w:hAnsi="Times New Roman" w:eastAsia="宋体" w:cs="Times New Roman"/>
      <w:lang w:val="en-US" w:eastAsia="zh-CN" w:bidi="ar-SA"/>
    </w:rPr>
  </w:style>
  <w:style w:type="paragraph" w:customStyle="1" w:styleId="91">
    <w:name w:val="附录二级无"/>
    <w:basedOn w:val="48"/>
    <w:qFormat/>
    <w:uiPriority w:val="0"/>
    <w:pPr>
      <w:tabs>
        <w:tab w:val="clear" w:pos="360"/>
      </w:tabs>
      <w:spacing w:before="0" w:beforeLines="0" w:after="0" w:afterLines="0"/>
    </w:pPr>
    <w:rPr>
      <w:rFonts w:ascii="宋体" w:eastAsia="宋体"/>
      <w:szCs w:val="21"/>
    </w:rPr>
  </w:style>
  <w:style w:type="paragraph" w:customStyle="1" w:styleId="92">
    <w:name w:val="示例"/>
    <w:next w:val="93"/>
    <w:qFormat/>
    <w:uiPriority w:val="0"/>
    <w:pPr>
      <w:widowControl w:val="0"/>
      <w:numPr>
        <w:ilvl w:val="0"/>
        <w:numId w:val="15"/>
      </w:numPr>
      <w:jc w:val="both"/>
    </w:pPr>
    <w:rPr>
      <w:rFonts w:ascii="宋体" w:hAnsi="Times New Roman" w:eastAsia="宋体" w:cs="Times New Roman"/>
      <w:sz w:val="18"/>
      <w:szCs w:val="18"/>
      <w:lang w:val="en-US" w:eastAsia="zh-CN" w:bidi="ar-SA"/>
    </w:rPr>
  </w:style>
  <w:style w:type="paragraph" w:customStyle="1" w:styleId="9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94">
    <w:name w:val="参考文献、索引标题"/>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5">
    <w:name w:val="封面标准文稿类别2"/>
    <w:basedOn w:val="96"/>
    <w:qFormat/>
    <w:uiPriority w:val="0"/>
    <w:pPr>
      <w:framePr w:y="4469"/>
    </w:pPr>
  </w:style>
  <w:style w:type="paragraph" w:customStyle="1" w:styleId="96">
    <w:name w:val="封面标准文稿类别"/>
    <w:basedOn w:val="78"/>
    <w:qFormat/>
    <w:uiPriority w:val="0"/>
    <w:pPr>
      <w:spacing w:after="160" w:line="240" w:lineRule="auto"/>
    </w:pPr>
    <w:rPr>
      <w:sz w:val="24"/>
    </w:rPr>
  </w:style>
  <w:style w:type="paragraph" w:customStyle="1" w:styleId="97">
    <w:name w:val="封面标准英文名称2"/>
    <w:basedOn w:val="79"/>
    <w:qFormat/>
    <w:uiPriority w:val="0"/>
    <w:pPr>
      <w:framePr w:y="4469"/>
    </w:pPr>
  </w:style>
  <w:style w:type="paragraph" w:customStyle="1" w:styleId="98">
    <w:name w:val="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99">
    <w:name w:val="二级无"/>
    <w:basedOn w:val="53"/>
    <w:qFormat/>
    <w:uiPriority w:val="0"/>
    <w:pPr>
      <w:spacing w:before="0" w:beforeLines="0" w:after="0" w:afterLines="0"/>
    </w:pPr>
    <w:rPr>
      <w:rFonts w:ascii="宋体" w:eastAsia="宋体"/>
    </w:rPr>
  </w:style>
  <w:style w:type="paragraph" w:customStyle="1" w:styleId="100">
    <w:name w:val="附录表标题"/>
    <w:basedOn w:val="1"/>
    <w:next w:val="22"/>
    <w:qFormat/>
    <w:uiPriority w:val="0"/>
    <w:pPr>
      <w:numPr>
        <w:ilvl w:val="1"/>
        <w:numId w:val="4"/>
      </w:numPr>
      <w:tabs>
        <w:tab w:val="left" w:pos="180"/>
      </w:tabs>
      <w:spacing w:before="50" w:beforeLines="50" w:after="50" w:afterLines="50"/>
      <w:ind w:left="0" w:firstLine="0"/>
      <w:jc w:val="center"/>
    </w:pPr>
    <w:rPr>
      <w:rFonts w:ascii="黑体" w:eastAsia="黑体"/>
      <w:szCs w:val="21"/>
    </w:rPr>
  </w:style>
  <w:style w:type="paragraph" w:customStyle="1" w:styleId="101">
    <w:name w:val="附录四级无"/>
    <w:basedOn w:val="61"/>
    <w:qFormat/>
    <w:uiPriority w:val="0"/>
    <w:pPr>
      <w:tabs>
        <w:tab w:val="clear" w:pos="360"/>
      </w:tabs>
      <w:spacing w:before="0" w:beforeLines="0" w:after="0" w:afterLines="0"/>
    </w:pPr>
    <w:rPr>
      <w:rFonts w:ascii="宋体" w:eastAsia="宋体"/>
      <w:szCs w:val="21"/>
    </w:rPr>
  </w:style>
  <w:style w:type="paragraph" w:customStyle="1" w:styleId="10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3">
    <w:name w:val="附录一级无"/>
    <w:basedOn w:val="69"/>
    <w:qFormat/>
    <w:uiPriority w:val="0"/>
    <w:pPr>
      <w:tabs>
        <w:tab w:val="clear" w:pos="360"/>
      </w:tabs>
      <w:spacing w:before="0" w:beforeLines="0" w:after="0" w:afterLines="0"/>
    </w:pPr>
    <w:rPr>
      <w:rFonts w:ascii="宋体" w:eastAsia="宋体"/>
      <w:szCs w:val="21"/>
    </w:rPr>
  </w:style>
  <w:style w:type="paragraph" w:customStyle="1" w:styleId="104">
    <w:name w:val="正文公式编号制表符"/>
    <w:basedOn w:val="22"/>
    <w:next w:val="22"/>
    <w:qFormat/>
    <w:uiPriority w:val="0"/>
    <w:pPr>
      <w:ind w:firstLine="0" w:firstLineChars="0"/>
    </w:pPr>
  </w:style>
  <w:style w:type="paragraph" w:customStyle="1" w:styleId="10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06">
    <w:name w:val="标准书眉一"/>
    <w:qFormat/>
    <w:uiPriority w:val="0"/>
    <w:pPr>
      <w:jc w:val="both"/>
    </w:pPr>
    <w:rPr>
      <w:rFonts w:ascii="Times New Roman" w:hAnsi="Times New Roman" w:eastAsia="宋体" w:cs="Times New Roman"/>
      <w:lang w:val="en-US" w:eastAsia="zh-CN" w:bidi="ar-SA"/>
    </w:rPr>
  </w:style>
  <w:style w:type="paragraph" w:customStyle="1" w:styleId="107">
    <w:name w:val="正文表标题"/>
    <w:next w:val="22"/>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08">
    <w:name w:val="参考文献"/>
    <w:basedOn w:val="1"/>
    <w:next w:val="2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9">
    <w:name w:val="图的脚注"/>
    <w:next w:val="2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0">
    <w:name w:val="图标脚注说明"/>
    <w:basedOn w:val="22"/>
    <w:qFormat/>
    <w:uiPriority w:val="0"/>
    <w:pPr>
      <w:ind w:left="840" w:hanging="420" w:firstLineChars="0"/>
    </w:pPr>
    <w:rPr>
      <w:sz w:val="18"/>
      <w:szCs w:val="18"/>
    </w:rPr>
  </w:style>
  <w:style w:type="paragraph" w:customStyle="1" w:styleId="111">
    <w:name w:val="其他实施日期"/>
    <w:basedOn w:val="73"/>
    <w:qFormat/>
    <w:uiPriority w:val="0"/>
  </w:style>
  <w:style w:type="paragraph" w:customStyle="1" w:styleId="112">
    <w:name w:val="终结线"/>
    <w:basedOn w:val="1"/>
    <w:qFormat/>
    <w:uiPriority w:val="0"/>
    <w:pPr>
      <w:framePr w:hSpace="181" w:vSpace="181" w:wrap="around" w:vAnchor="text" w:hAnchor="margin" w:xAlign="center" w:y="285"/>
    </w:pPr>
  </w:style>
  <w:style w:type="paragraph" w:customStyle="1" w:styleId="113">
    <w:name w:val="封面标准文稿编辑信息"/>
    <w:basedOn w:val="96"/>
    <w:qFormat/>
    <w:uiPriority w:val="0"/>
    <w:pPr>
      <w:spacing w:before="180" w:line="180" w:lineRule="exact"/>
    </w:pPr>
    <w:rPr>
      <w:sz w:val="21"/>
    </w:rPr>
  </w:style>
  <w:style w:type="paragraph" w:customStyle="1" w:styleId="114">
    <w:name w:val="封面标准名称2"/>
    <w:basedOn w:val="80"/>
    <w:qFormat/>
    <w:uiPriority w:val="0"/>
    <w:pPr>
      <w:framePr w:y="4469"/>
      <w:spacing w:before="630" w:beforeLines="630"/>
    </w:pPr>
  </w:style>
  <w:style w:type="paragraph" w:customStyle="1" w:styleId="115">
    <w:name w:val="一级无"/>
    <w:basedOn w:val="54"/>
    <w:qFormat/>
    <w:uiPriority w:val="0"/>
    <w:pPr>
      <w:spacing w:before="0" w:beforeLines="0" w:after="0" w:afterLines="0"/>
    </w:pPr>
    <w:rPr>
      <w:rFonts w:ascii="宋体" w:eastAsia="宋体"/>
    </w:rPr>
  </w:style>
  <w:style w:type="paragraph" w:customStyle="1" w:styleId="11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18">
    <w:name w:val="附录字母编号列项（一级）"/>
    <w:qFormat/>
    <w:uiPriority w:val="0"/>
    <w:pPr>
      <w:numPr>
        <w:ilvl w:val="0"/>
        <w:numId w:val="10"/>
      </w:numPr>
    </w:pPr>
    <w:rPr>
      <w:rFonts w:ascii="宋体" w:hAnsi="Times New Roman" w:eastAsia="宋体" w:cs="Times New Roman"/>
      <w:sz w:val="21"/>
      <w:lang w:val="en-US" w:eastAsia="zh-CN" w:bidi="ar-SA"/>
    </w:rPr>
  </w:style>
  <w:style w:type="paragraph" w:customStyle="1" w:styleId="11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20">
    <w:name w:val="附录公式编号制表符"/>
    <w:basedOn w:val="1"/>
    <w:next w:val="22"/>
    <w:qFormat/>
    <w:uiPriority w:val="0"/>
    <w:pPr>
      <w:widowControl/>
      <w:tabs>
        <w:tab w:val="center" w:pos="4201"/>
        <w:tab w:val="right" w:leader="dot" w:pos="9298"/>
      </w:tabs>
      <w:autoSpaceDE w:val="0"/>
      <w:autoSpaceDN w:val="0"/>
    </w:pPr>
    <w:rPr>
      <w:rFonts w:ascii="宋体"/>
      <w:kern w:val="0"/>
      <w:szCs w:val="20"/>
    </w:rPr>
  </w:style>
  <w:style w:type="paragraph" w:customStyle="1" w:styleId="12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2">
    <w:name w:val="附录图标题"/>
    <w:basedOn w:val="1"/>
    <w:next w:val="22"/>
    <w:qFormat/>
    <w:uiPriority w:val="0"/>
    <w:pPr>
      <w:numPr>
        <w:ilvl w:val="1"/>
        <w:numId w:val="17"/>
      </w:numPr>
      <w:tabs>
        <w:tab w:val="left" w:pos="363"/>
      </w:tabs>
      <w:spacing w:before="50" w:beforeLines="50" w:after="50" w:afterLines="50"/>
      <w:ind w:left="0" w:firstLine="0"/>
      <w:jc w:val="center"/>
    </w:pPr>
    <w:rPr>
      <w:rFonts w:ascii="黑体" w:eastAsia="黑体"/>
      <w:szCs w:val="21"/>
    </w:rPr>
  </w:style>
  <w:style w:type="paragraph" w:customStyle="1" w:styleId="123">
    <w:name w:val="其他标准标志"/>
    <w:basedOn w:val="117"/>
    <w:qFormat/>
    <w:uiPriority w:val="0"/>
    <w:pPr>
      <w:framePr w:w="6101" w:vAnchor="page" w:hAnchor="page" w:x="4673" w:y="942"/>
    </w:pPr>
    <w:rPr>
      <w:w w:val="130"/>
    </w:rPr>
  </w:style>
  <w:style w:type="paragraph" w:customStyle="1" w:styleId="124">
    <w:name w:val="列项——（一级）"/>
    <w:qFormat/>
    <w:uiPriority w:val="0"/>
    <w:pPr>
      <w:widowControl w:val="0"/>
      <w:numPr>
        <w:ilvl w:val="0"/>
        <w:numId w:val="11"/>
      </w:numPr>
      <w:jc w:val="both"/>
    </w:pPr>
    <w:rPr>
      <w:rFonts w:ascii="宋体" w:hAnsi="Times New Roman" w:eastAsia="宋体" w:cs="Times New Roman"/>
      <w:sz w:val="21"/>
      <w:lang w:val="en-US" w:eastAsia="zh-CN" w:bidi="ar-SA"/>
    </w:rPr>
  </w:style>
  <w:style w:type="paragraph" w:customStyle="1" w:styleId="125">
    <w:name w:val="附录图标号"/>
    <w:basedOn w:val="1"/>
    <w:qFormat/>
    <w:uiPriority w:val="0"/>
    <w:pPr>
      <w:keepNext/>
      <w:pageBreakBefore/>
      <w:widowControl/>
      <w:numPr>
        <w:ilvl w:val="0"/>
        <w:numId w:val="17"/>
      </w:numPr>
      <w:spacing w:line="14" w:lineRule="exact"/>
      <w:ind w:left="0" w:firstLine="363"/>
      <w:jc w:val="center"/>
      <w:outlineLvl w:val="0"/>
    </w:pPr>
    <w:rPr>
      <w:color w:val="FFFFFF"/>
    </w:rPr>
  </w:style>
  <w:style w:type="paragraph" w:customStyle="1" w:styleId="126">
    <w:name w:val="其他发布部门"/>
    <w:basedOn w:val="127"/>
    <w:qFormat/>
    <w:uiPriority w:val="0"/>
    <w:pPr>
      <w:framePr w:y="15310"/>
      <w:spacing w:line="0" w:lineRule="atLeast"/>
    </w:pPr>
    <w:rPr>
      <w:rFonts w:ascii="黑体" w:eastAsia="黑体"/>
      <w:b w:val="0"/>
    </w:rPr>
  </w:style>
  <w:style w:type="paragraph" w:customStyle="1" w:styleId="127">
    <w:name w:val="发布部门"/>
    <w:next w:val="2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28">
    <w:name w:val="五级条标题"/>
    <w:basedOn w:val="77"/>
    <w:next w:val="22"/>
    <w:qFormat/>
    <w:uiPriority w:val="0"/>
    <w:pPr>
      <w:numPr>
        <w:ilvl w:val="5"/>
        <w:numId w:val="5"/>
      </w:numPr>
      <w:outlineLvl w:val="6"/>
    </w:pPr>
  </w:style>
  <w:style w:type="paragraph" w:customStyle="1" w:styleId="129">
    <w:name w:val="五级无"/>
    <w:basedOn w:val="128"/>
    <w:qFormat/>
    <w:uiPriority w:val="0"/>
    <w:pPr>
      <w:spacing w:before="0" w:beforeLines="0" w:after="0" w:afterLines="0"/>
    </w:pPr>
    <w:rPr>
      <w:rFonts w:ascii="宋体" w:eastAsia="宋体"/>
    </w:rPr>
  </w:style>
  <w:style w:type="paragraph" w:customStyle="1" w:styleId="130">
    <w:name w:val="附录标题"/>
    <w:basedOn w:val="22"/>
    <w:next w:val="22"/>
    <w:qFormat/>
    <w:uiPriority w:val="0"/>
    <w:pPr>
      <w:ind w:firstLine="0" w:firstLineChars="0"/>
      <w:jc w:val="center"/>
    </w:pPr>
    <w:rPr>
      <w:rFonts w:ascii="黑体" w:eastAsia="黑体"/>
    </w:rPr>
  </w:style>
  <w:style w:type="paragraph" w:customStyle="1" w:styleId="131">
    <w:name w:val="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32">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33">
    <w:name w:val="前言、引言标题"/>
    <w:next w:val="2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5">
    <w:name w:val="标准书眉_偶数页"/>
    <w:basedOn w:val="105"/>
    <w:next w:val="1"/>
    <w:qFormat/>
    <w:uiPriority w:val="0"/>
    <w:pPr>
      <w:jc w:val="left"/>
    </w:pPr>
    <w:rPr>
      <w:rFonts w:ascii="黑体" w:eastAsia="黑体"/>
    </w:rPr>
  </w:style>
  <w:style w:type="paragraph" w:customStyle="1" w:styleId="13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37">
    <w:name w:val="示例后文字"/>
    <w:basedOn w:val="22"/>
    <w:next w:val="22"/>
    <w:qFormat/>
    <w:uiPriority w:val="0"/>
    <w:pPr>
      <w:ind w:firstLine="360"/>
    </w:pPr>
    <w:rPr>
      <w:sz w:val="18"/>
    </w:rPr>
  </w:style>
  <w:style w:type="paragraph" w:customStyle="1" w:styleId="13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39">
    <w:name w:val="封面标准文稿编辑信息2"/>
    <w:basedOn w:val="113"/>
    <w:qFormat/>
    <w:uiPriority w:val="0"/>
    <w:pPr>
      <w:framePr w:y="44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4037;&#20316;\03&#23452;&#26149;&#23500;&#30802;&#22320;&#26631;\01&#26631;&#20934;&#25991;&#26412;\&#23500;&#30802;&#22320;&#26041;&#26631;&#20934;2019&#24180;08\&#23500;&#30802;&#27833;&#33590;&#29983;&#20135;&#25216;&#26415;&#35268;&#31243;20190805-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富硒油茶生产技术规程20190805-2</Template>
  <Pages>13</Pages>
  <Words>4959</Words>
  <Characters>5979</Characters>
  <Lines>53</Lines>
  <Paragraphs>15</Paragraphs>
  <TotalTime>3</TotalTime>
  <ScaleCrop>false</ScaleCrop>
  <LinksUpToDate>false</LinksUpToDate>
  <CharactersWithSpaces>6331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2020-11-05T02:09:00Z</dcterms:created>
  <dcterms:modified xsi:type="dcterms:W3CDTF">2024-09-18T07:55:14Z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F1A82E8821914CECB4B8B9CF53D34851_13</vt:lpwstr>
  </property>
</Properties>
</file>